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>об о</w:t>
      </w:r>
      <w:r>
        <w:rPr>
          <w:rFonts w:eastAsia="Calibri" w:cs="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собенности государственной регистрации прав на недвижимое имущество на основании решения суда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Порядок осуществления государственного кадастрового учета и государственной регистрации прав регламентируется Федеральным законом от 13.07.2015 № 218-ФЗ «О государственной регистрации недвижимости» (Закон о регистрации), согласно которому государственная регистрация права собственности в Едином государственном реестре недвижимости (ЕГРН) является единственным доказательством существования зарегистрированного права.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14 Закона о регистрации государственная регистрация прав осуществляется на основании заявления и документов, поступивших в орган регистрации прав. В качестве одного из оснований для регистрации прав являются вступившие в законную силу судебные акты.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Особенности осуществления государственной регистрации прав на недвижимое имущество на основании судебного акта предусмотрены статьей 58 Закона о регистрации.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«Судебный акт может являться основанием как для государственной регистрации права на недвижимое имущество, так и для погашения имеющихся записей в ЕГРН», - 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 xml:space="preserve">отмечает заведующий </w:t>
      </w:r>
      <w:r>
        <w:rPr>
          <w:rFonts w:cs="Times New Roman" w:ascii="Times New Roman" w:hAnsi="Times New Roman"/>
          <w:sz w:val="28"/>
          <w:szCs w:val="28"/>
        </w:rPr>
        <w:t xml:space="preserve">кафедрой гражданско-правовых дисциплин Владимирского филиала РАНХиГС, кандидат юридических наук Андрей Баринов.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Так, согласно п. 52 Постановления Пленума ВС РФ № 10, Пленума ВАС РФ № 22 от 29.04.2010 «О некоторых вопросах, возникающих в судебной практике при разрешении споров, связанных с защитой права собственности и других вещных прав» основанием для внесения записи в ЕГРН являются судебные акты, в резолютивной части которых решен вопрос о наличии или отсутствии права либо обременения недвижимого имущества,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В случае,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лица, и при этом предусмотрено возникновение этого права у другого лица или установлено наличие права у такого другого лица, то государственная регистрация прав на основании этого решения суда может осуществляться по заявлению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лица, у которого право возникает на основании решения суда либо право, которого подтверждено решением суда. При этом не требуется заявление лица, чье право прекращается или признано отсутствующим по этому решению суда, в случае, если такое лицо являлось ответчиком по соответствующему делу, в результате рассмотрения которого признано аналогичное право на данное имущество за другим лицом.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Исключение составляют судебные акты, которыми непосредственно на орган регистрации прав возложена обязанность произвести те или иные регистрационные действия, например, о признании решения о приостановлении или об отказе в проведении учетно-регистрационных действий незаконными и об обязании регистрирующего органа осуществить указанные действия. Такие акты подлежат исполнению в течение 5 рабочих дней с даты поступления в орган регистрации прав вступившего в законную силу судебного акта, установившего обязанность осуществить государственный кадастровый учет и (или) государственную регистрацию прав.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 результатам разрешения спора о праве на недвижимость, судами выносятся акты в рамках искового производства по гражданскому делу, без возложения на орган регистрации прав каких-либо обязанностей.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Заместитель руководителя Управления Александр Киреев подчеркивает: «Обращаем внимание, что решение суда в отношении прав на недвижимость, например, о признании права собственности на объект недвижимости не означает «автоматического» исполнения решения суда органом регистрации прав. В этом случае заинтересованному лицу необходимо обратиться в регистрирующий орган с заявлением о регистрации прав, представив вступивший в законную силу судебный акт. Кроме того, наличие судебного акта, являющегося основанием для внесения записи в ЕГРН, не освобождает лицо от предоставления иных документов, не являющихся правоустанавливающими, которые необходимы для внесения записи в ЕГРН согласно Закону о регистрации». </w:t>
      </w:r>
    </w:p>
    <w:p>
      <w:pPr>
        <w:pStyle w:val="NoSpacing"/>
        <w:spacing w:lineRule="auto" w:line="3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eastAsia="Calibri" w:cs="Segoe UI"/>
          <w:sz w:val="24"/>
          <w:szCs w:val="24"/>
          <w:lang w:eastAsia="en-US"/>
        </w:rPr>
        <w:t>(4922) 45-08-29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(4922) 45-08-26</w:t>
      </w:r>
    </w:p>
    <w:sectPr>
      <w:type w:val="nextPage"/>
      <w:pgSz w:w="11906" w:h="16838"/>
      <w:pgMar w:left="1701" w:right="850" w:gutter="0" w:header="0" w:top="162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Application>LibreOffice/7.5.6.2$Linux_X86_64 LibreOffice_project/50$Build-2</Application>
  <AppVersion>15.0000</AppVersion>
  <Pages>2</Pages>
  <Words>557</Words>
  <Characters>3852</Characters>
  <CharactersWithSpaces>4538</CharactersWithSpaces>
  <Paragraphs>22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2021-04-20T16:11:00Z</cp:lastPrinted>
  <dcterms:modified xsi:type="dcterms:W3CDTF">2024-06-21T11:31:37Z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