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6E" w:rsidRDefault="00E7430A">
      <w:pPr>
        <w:pStyle w:val="af0"/>
        <w:tabs>
          <w:tab w:val="left" w:pos="3119"/>
        </w:tabs>
      </w:pPr>
      <w:r>
        <w:rPr>
          <w:noProof/>
          <w:lang w:eastAsia="ru-RU"/>
        </w:rPr>
        <w:drawing>
          <wp:anchor distT="0" distB="0" distL="0" distR="114300" simplePos="0" relativeHeight="3" behindDoc="0" locked="0" layoutInCell="0" allowOverlap="1">
            <wp:simplePos x="0" y="0"/>
            <wp:positionH relativeFrom="column">
              <wp:align>left</wp:align>
            </wp:positionH>
            <wp:positionV relativeFrom="paragraph">
              <wp:posOffset>635</wp:posOffset>
            </wp:positionV>
            <wp:extent cx="1990725" cy="704850"/>
            <wp:effectExtent l="0" t="0" r="0" b="0"/>
            <wp:wrapSquare wrapText="bothSides"/>
            <wp:docPr id="1" name="Рисунок 3" descr="C:\Users\E.Kudryashova\AppData\Local\Microsoft\Windows\INetCache\Content.Word\Лого основное 2 Владимир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E.Kudryashova\AppData\Local\Microsoft\Windows\INetCache\Content.Word\Лого основное 2 Владимирская область.png"/>
                    <pic:cNvPicPr>
                      <a:picLocks noChangeAspect="1" noChangeArrowheads="1"/>
                    </pic:cNvPicPr>
                  </pic:nvPicPr>
                  <pic:blipFill>
                    <a:blip r:embed="rId5"/>
                    <a:stretch>
                      <a:fillRect/>
                    </a:stretch>
                  </pic:blipFill>
                  <pic:spPr bwMode="auto">
                    <a:xfrm>
                      <a:off x="0" y="0"/>
                      <a:ext cx="1990725" cy="704850"/>
                    </a:xfrm>
                    <a:prstGeom prst="rect">
                      <a:avLst/>
                    </a:prstGeom>
                  </pic:spPr>
                </pic:pic>
              </a:graphicData>
            </a:graphic>
          </wp:anchor>
        </w:drawing>
      </w:r>
      <w:r>
        <w:t xml:space="preserve">                                                                                                                                        </w:t>
      </w:r>
    </w:p>
    <w:p w:rsidR="00FC696E" w:rsidRDefault="00E7430A">
      <w:pPr>
        <w:pStyle w:val="af0"/>
      </w:pPr>
      <w:r>
        <w:br w:type="textWrapping" w:clear="all"/>
      </w:r>
    </w:p>
    <w:p w:rsidR="00FC696E" w:rsidRDefault="00FC696E">
      <w:pPr>
        <w:pStyle w:val="af0"/>
        <w:jc w:val="right"/>
        <w:rPr>
          <w:rFonts w:ascii="Arial" w:eastAsia="Arial Unicode MS" w:hAnsi="Arial" w:cs="Arial"/>
          <w:b/>
          <w:sz w:val="26"/>
          <w:szCs w:val="26"/>
        </w:rPr>
      </w:pPr>
    </w:p>
    <w:p w:rsidR="00FC696E" w:rsidRDefault="00E7430A">
      <w:pPr>
        <w:pStyle w:val="af0"/>
        <w:jc w:val="right"/>
        <w:rPr>
          <w:rFonts w:ascii="Arial" w:eastAsia="Arial Unicode MS" w:hAnsi="Arial" w:cs="Arial"/>
          <w:b/>
          <w:sz w:val="26"/>
          <w:szCs w:val="26"/>
        </w:rPr>
      </w:pPr>
      <w:r>
        <w:rPr>
          <w:rFonts w:ascii="Arial" w:eastAsia="Arial Unicode MS" w:hAnsi="Arial" w:cs="Arial"/>
          <w:b/>
          <w:sz w:val="26"/>
          <w:szCs w:val="26"/>
        </w:rPr>
        <w:t>ПРЕСС-РЕЛИЗ</w:t>
      </w:r>
    </w:p>
    <w:p w:rsidR="00FC696E" w:rsidRDefault="00FC696E"/>
    <w:p w:rsidR="00FC696E" w:rsidRDefault="00E7430A">
      <w:pPr>
        <w:pStyle w:val="af0"/>
        <w:jc w:val="center"/>
        <w:rPr>
          <w:rFonts w:ascii="Arial" w:eastAsia="Arial Unicode MS" w:hAnsi="Arial" w:cs="Arial"/>
          <w:b/>
          <w:sz w:val="26"/>
          <w:szCs w:val="26"/>
        </w:rPr>
      </w:pPr>
      <w:r>
        <w:rPr>
          <w:rFonts w:ascii="Arial" w:eastAsia="Arial Unicode MS" w:hAnsi="Arial" w:cs="Arial"/>
          <w:b/>
          <w:sz w:val="26"/>
          <w:szCs w:val="26"/>
        </w:rPr>
        <w:t xml:space="preserve">Управление Росреестра по Владимирской области информирует </w:t>
      </w:r>
    </w:p>
    <w:p w:rsidR="00FC696E" w:rsidRDefault="00E7430A">
      <w:pPr>
        <w:pStyle w:val="af0"/>
        <w:jc w:val="center"/>
        <w:rPr>
          <w:rFonts w:ascii="Arial" w:eastAsia="Arial Unicode MS" w:hAnsi="Arial" w:cs="Arial"/>
          <w:b/>
          <w:sz w:val="26"/>
          <w:szCs w:val="26"/>
        </w:rPr>
      </w:pPr>
      <w:r>
        <w:rPr>
          <w:rFonts w:ascii="Arial" w:eastAsia="Arial Unicode MS" w:hAnsi="Arial" w:cs="Arial"/>
          <w:b/>
          <w:sz w:val="26"/>
          <w:szCs w:val="26"/>
        </w:rPr>
        <w:t>о порядке оформления гаража по «гаражной амнистии»</w:t>
      </w:r>
    </w:p>
    <w:p w:rsidR="00FC696E" w:rsidRDefault="00FC696E">
      <w:pPr>
        <w:pStyle w:val="af0"/>
        <w:jc w:val="center"/>
        <w:rPr>
          <w:rFonts w:ascii="Arial" w:eastAsia="Arial Unicode MS" w:hAnsi="Arial" w:cs="Arial"/>
          <w:b/>
          <w:sz w:val="26"/>
          <w:szCs w:val="26"/>
        </w:rPr>
      </w:pPr>
    </w:p>
    <w:p w:rsidR="00FC696E" w:rsidRDefault="00E7430A">
      <w:pPr>
        <w:spacing w:after="0" w:line="240" w:lineRule="auto"/>
        <w:ind w:firstLine="737"/>
        <w:jc w:val="both"/>
      </w:pPr>
      <w:r>
        <w:rPr>
          <w:rFonts w:ascii="Times New Roman" w:hAnsi="Times New Roman" w:cs="Times New Roman"/>
          <w:sz w:val="28"/>
          <w:szCs w:val="28"/>
        </w:rPr>
        <w:t xml:space="preserve">С 01 сентября 2021 года вступил в силу Федеральный закон от 5 апреля 2021 года № 79-ФЗ "О внесении изменений в отдельные законодательные акты Российской Федерации" (Закон о «гаражной амнистии»). </w:t>
      </w:r>
    </w:p>
    <w:p w:rsidR="00FC696E" w:rsidRDefault="00E7430A">
      <w:pPr>
        <w:spacing w:after="0" w:line="240" w:lineRule="auto"/>
        <w:jc w:val="both"/>
      </w:pPr>
      <w:r>
        <w:rPr>
          <w:rFonts w:ascii="Times New Roman" w:hAnsi="Times New Roman" w:cs="Times New Roman"/>
          <w:sz w:val="28"/>
          <w:szCs w:val="28"/>
        </w:rPr>
        <w:tab/>
        <w:t xml:space="preserve">Закон о «гаражной амнистии» предоставил широкие возможности для граждан </w:t>
      </w:r>
      <w:proofErr w:type="gramStart"/>
      <w:r>
        <w:rPr>
          <w:rFonts w:ascii="Times New Roman" w:hAnsi="Times New Roman" w:cs="Times New Roman"/>
          <w:sz w:val="28"/>
          <w:szCs w:val="28"/>
        </w:rPr>
        <w:t>стать</w:t>
      </w:r>
      <w:proofErr w:type="gramEnd"/>
      <w:r>
        <w:rPr>
          <w:rFonts w:ascii="Times New Roman" w:hAnsi="Times New Roman" w:cs="Times New Roman"/>
          <w:sz w:val="28"/>
          <w:szCs w:val="28"/>
        </w:rPr>
        <w:t xml:space="preserve"> законными владельцами своих гаражей, зарегистрировав право собственности на них в Едином государственном реестре недвижимости (ЕГРН). Он предусматривает возможность не только оформления самого гаража, но и бесплатного предоставления земельного участка под ним.</w:t>
      </w:r>
    </w:p>
    <w:p w:rsidR="00FC696E" w:rsidRDefault="00E7430A">
      <w:pPr>
        <w:spacing w:after="0" w:line="240" w:lineRule="auto"/>
        <w:jc w:val="both"/>
      </w:pPr>
      <w:r>
        <w:rPr>
          <w:rFonts w:ascii="Times New Roman" w:hAnsi="Times New Roman" w:cs="Times New Roman"/>
          <w:sz w:val="28"/>
          <w:szCs w:val="28"/>
        </w:rPr>
        <w:tab/>
        <w:t xml:space="preserve">«Данный закон действует до 01 сентября 2026 года и призван внести ясность в регулирование вопросов оформления прав на объекты гаражного назначения и земельные участки, на которых они расположены, а также урегулировать рынок частных гаражей», - подчеркивает руководитель Управления Алексей </w:t>
      </w:r>
      <w:proofErr w:type="spellStart"/>
      <w:r>
        <w:rPr>
          <w:rFonts w:ascii="Times New Roman" w:hAnsi="Times New Roman" w:cs="Times New Roman"/>
          <w:sz w:val="28"/>
          <w:szCs w:val="28"/>
        </w:rPr>
        <w:t>Сарыгин</w:t>
      </w:r>
      <w:proofErr w:type="spellEnd"/>
      <w:r>
        <w:rPr>
          <w:rFonts w:ascii="Times New Roman" w:hAnsi="Times New Roman" w:cs="Times New Roman"/>
          <w:sz w:val="28"/>
          <w:szCs w:val="28"/>
        </w:rPr>
        <w:t>.</w:t>
      </w:r>
    </w:p>
    <w:p w:rsidR="00FC696E" w:rsidRDefault="00E7430A">
      <w:pPr>
        <w:spacing w:after="0" w:line="240" w:lineRule="auto"/>
        <w:jc w:val="both"/>
      </w:pPr>
      <w:r>
        <w:rPr>
          <w:rFonts w:ascii="Times New Roman" w:hAnsi="Times New Roman" w:cs="Times New Roman"/>
          <w:sz w:val="28"/>
          <w:szCs w:val="28"/>
        </w:rPr>
        <w:tab/>
        <w:t xml:space="preserve">«Гаражная амнистия» распространяется на объекты гаражного назначения, возведенные до введения в действие Градостроительного Кодекса Российской Федерации (до 30.12.2004). </w:t>
      </w:r>
    </w:p>
    <w:p w:rsidR="00ED521F" w:rsidRPr="00ED521F" w:rsidRDefault="00E743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Речь идет как об объектах капитального строительства</w:t>
      </w:r>
      <w:r w:rsidRPr="00ED521F">
        <w:rPr>
          <w:rFonts w:ascii="Times New Roman" w:hAnsi="Times New Roman" w:cs="Times New Roman"/>
          <w:sz w:val="28"/>
          <w:szCs w:val="28"/>
        </w:rPr>
        <w:t xml:space="preserve">, так и о гаражах некапитального типа, которые находятся в гаражно-строительных кооперативах и гаражных товариществах. </w:t>
      </w:r>
    </w:p>
    <w:p w:rsidR="00FC696E" w:rsidRDefault="00ED521F" w:rsidP="00ED521F">
      <w:pPr>
        <w:spacing w:after="0" w:line="240" w:lineRule="auto"/>
        <w:ind w:firstLine="709"/>
        <w:jc w:val="both"/>
      </w:pPr>
      <w:r>
        <w:rPr>
          <w:rFonts w:ascii="Times New Roman" w:hAnsi="Times New Roman" w:cs="Times New Roman"/>
          <w:sz w:val="28"/>
          <w:szCs w:val="28"/>
        </w:rPr>
        <w:t>Вместе с тем строения/с</w:t>
      </w:r>
      <w:r w:rsidR="00E7430A">
        <w:rPr>
          <w:rFonts w:ascii="Times New Roman" w:hAnsi="Times New Roman" w:cs="Times New Roman"/>
          <w:sz w:val="28"/>
          <w:szCs w:val="28"/>
        </w:rPr>
        <w:t>ооружения</w:t>
      </w:r>
      <w:r>
        <w:rPr>
          <w:rFonts w:ascii="Times New Roman" w:hAnsi="Times New Roman" w:cs="Times New Roman"/>
          <w:sz w:val="28"/>
          <w:szCs w:val="28"/>
        </w:rPr>
        <w:t xml:space="preserve"> </w:t>
      </w:r>
      <w:r w:rsidR="00C4714E">
        <w:rPr>
          <w:rFonts w:ascii="Times New Roman" w:hAnsi="Times New Roman" w:cs="Times New Roman"/>
          <w:sz w:val="28"/>
          <w:szCs w:val="28"/>
        </w:rPr>
        <w:t xml:space="preserve">(объекты </w:t>
      </w:r>
      <w:r>
        <w:rPr>
          <w:rFonts w:ascii="Times New Roman" w:hAnsi="Times New Roman" w:cs="Times New Roman"/>
          <w:sz w:val="28"/>
          <w:szCs w:val="28"/>
        </w:rPr>
        <w:t>капитального строительства</w:t>
      </w:r>
      <w:r w:rsidR="00C4714E">
        <w:rPr>
          <w:rFonts w:ascii="Times New Roman" w:hAnsi="Times New Roman" w:cs="Times New Roman"/>
          <w:sz w:val="28"/>
          <w:szCs w:val="28"/>
        </w:rPr>
        <w:t>)</w:t>
      </w:r>
      <w:bookmarkStart w:id="0" w:name="_GoBack"/>
      <w:bookmarkEnd w:id="0"/>
      <w:r w:rsidR="00E7430A">
        <w:rPr>
          <w:rFonts w:ascii="Times New Roman" w:hAnsi="Times New Roman" w:cs="Times New Roman"/>
          <w:sz w:val="28"/>
          <w:szCs w:val="28"/>
        </w:rPr>
        <w:t xml:space="preserve"> должны быть одноэтажными, без жилых помещений. Земля, на которой расположен гараж, должна быть государственной или муниципальной.</w:t>
      </w:r>
    </w:p>
    <w:p w:rsidR="00FC696E" w:rsidRDefault="00E7430A">
      <w:pPr>
        <w:spacing w:after="0" w:line="240" w:lineRule="auto"/>
        <w:jc w:val="both"/>
      </w:pPr>
      <w:r>
        <w:rPr>
          <w:rFonts w:ascii="Times New Roman" w:hAnsi="Times New Roman" w:cs="Times New Roman"/>
          <w:sz w:val="28"/>
          <w:szCs w:val="28"/>
        </w:rPr>
        <w:tab/>
        <w:t>Не попадают под «гаражную амнистию» самовольные постройки и подземные гаражи под «многоэтажками» и офисными комплексами, а также гаражи, возведенные после вступления в силу Градостроительного Кодекса Российской Федерации.</w:t>
      </w:r>
    </w:p>
    <w:p w:rsidR="00FC696E" w:rsidRDefault="00E7430A">
      <w:pPr>
        <w:spacing w:after="0" w:line="240" w:lineRule="auto"/>
        <w:jc w:val="both"/>
      </w:pPr>
      <w:r>
        <w:rPr>
          <w:rFonts w:ascii="Times New Roman" w:hAnsi="Times New Roman" w:cs="Times New Roman"/>
          <w:sz w:val="28"/>
          <w:szCs w:val="28"/>
        </w:rPr>
        <w:tab/>
        <w:t>Воспользоваться «гаражной амнистией» могут граждане - владельцы гаражей, возведенных до вступления в силу Градостроительного Кодекса Российской Федерации; их наследники; граждане, которые приобрели гаражи, возведенные до вступления в силу Градостроительного Кодекса Российской Федерации, по соглашению у лица, подпадающего под «гаражную амнистию».</w:t>
      </w:r>
    </w:p>
    <w:p w:rsidR="00FC696E" w:rsidRDefault="00E7430A">
      <w:pPr>
        <w:spacing w:after="0" w:line="240" w:lineRule="auto"/>
        <w:jc w:val="both"/>
      </w:pPr>
      <w:r>
        <w:rPr>
          <w:rFonts w:ascii="Times New Roman" w:hAnsi="Times New Roman" w:cs="Times New Roman"/>
          <w:sz w:val="28"/>
          <w:szCs w:val="28"/>
        </w:rPr>
        <w:tab/>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воспользоваться "гаражной амнистией", гражданину необходимо обратиться в соответствующий орган государственной власти или орган местного самоуправления с заявлением о предоставлении (а при </w:t>
      </w:r>
      <w:r>
        <w:rPr>
          <w:rFonts w:ascii="Times New Roman" w:hAnsi="Times New Roman" w:cs="Times New Roman"/>
          <w:sz w:val="28"/>
          <w:szCs w:val="28"/>
        </w:rPr>
        <w:lastRenderedPageBreak/>
        <w:t xml:space="preserve">необходимости и образовании) участка под существующим гаражом с приложением любого документа, подтверждающего факт владения гаражом. </w:t>
      </w:r>
      <w:r>
        <w:rPr>
          <w:rFonts w:ascii="Times New Roman" w:hAnsi="Times New Roman" w:cs="Times New Roman"/>
          <w:sz w:val="28"/>
          <w:szCs w:val="28"/>
        </w:rPr>
        <w:tab/>
        <w:t xml:space="preserve">Такими документами могут быть: </w:t>
      </w:r>
    </w:p>
    <w:p w:rsidR="00FC696E" w:rsidRDefault="00E7430A">
      <w:pPr>
        <w:spacing w:after="0" w:line="240" w:lineRule="auto"/>
        <w:jc w:val="both"/>
      </w:pPr>
      <w:r>
        <w:rPr>
          <w:rFonts w:ascii="Times New Roman" w:hAnsi="Times New Roman" w:cs="Times New Roman"/>
          <w:sz w:val="28"/>
          <w:szCs w:val="28"/>
        </w:rPr>
        <w:tab/>
        <w:t>- любое решение органа власти (в том числе советского периода) подтверждающее, что ранее гражданину был предоставлен земельный участок под гаражом</w:t>
      </w:r>
      <w:bookmarkStart w:id="1" w:name="_GoBack_Копия_1"/>
      <w:bookmarkEnd w:id="1"/>
      <w:r>
        <w:rPr>
          <w:rFonts w:ascii="Times New Roman" w:hAnsi="Times New Roman" w:cs="Times New Roman"/>
          <w:sz w:val="28"/>
          <w:szCs w:val="28"/>
        </w:rPr>
        <w:t>;</w:t>
      </w:r>
    </w:p>
    <w:p w:rsidR="00FC696E" w:rsidRDefault="00E7430A">
      <w:pPr>
        <w:spacing w:after="0" w:line="240" w:lineRule="auto"/>
        <w:jc w:val="both"/>
      </w:pPr>
      <w:r>
        <w:rPr>
          <w:rFonts w:ascii="Times New Roman" w:hAnsi="Times New Roman" w:cs="Times New Roman"/>
          <w:sz w:val="28"/>
          <w:szCs w:val="28"/>
        </w:rPr>
        <w:tab/>
        <w:t>- любое решение завода, фабрики, совхоза, колхоза или иного предприятия, при котором был построен гараж;</w:t>
      </w:r>
    </w:p>
    <w:p w:rsidR="00FC696E" w:rsidRDefault="00E7430A">
      <w:pPr>
        <w:spacing w:after="0" w:line="240" w:lineRule="auto"/>
        <w:jc w:val="both"/>
      </w:pPr>
      <w:r>
        <w:rPr>
          <w:rFonts w:ascii="Times New Roman" w:hAnsi="Times New Roman" w:cs="Times New Roman"/>
          <w:sz w:val="28"/>
          <w:szCs w:val="28"/>
        </w:rPr>
        <w:tab/>
        <w:t>- справка или иной документ, подтверждающий выплату пая в гаражном кооперативе;</w:t>
      </w:r>
    </w:p>
    <w:p w:rsidR="00FC696E" w:rsidRDefault="00E7430A">
      <w:pPr>
        <w:spacing w:after="0" w:line="240" w:lineRule="auto"/>
        <w:jc w:val="both"/>
      </w:pPr>
      <w:r>
        <w:rPr>
          <w:rFonts w:ascii="Times New Roman" w:hAnsi="Times New Roman" w:cs="Times New Roman"/>
          <w:sz w:val="28"/>
          <w:szCs w:val="28"/>
        </w:rPr>
        <w:tab/>
        <w:t>- решение общего собрания гаражного кооператива, подтверждающее распределение гражданину гаража;</w:t>
      </w:r>
    </w:p>
    <w:p w:rsidR="00FC696E" w:rsidRDefault="00E7430A">
      <w:pPr>
        <w:spacing w:after="0" w:line="240" w:lineRule="auto"/>
        <w:jc w:val="both"/>
      </w:pPr>
      <w:r>
        <w:rPr>
          <w:rFonts w:ascii="Times New Roman" w:hAnsi="Times New Roman" w:cs="Times New Roman"/>
          <w:sz w:val="28"/>
          <w:szCs w:val="28"/>
        </w:rPr>
        <w:tab/>
        <w:t>- старый технический паспорт на гараж;</w:t>
      </w:r>
    </w:p>
    <w:p w:rsidR="00FC696E" w:rsidRDefault="00E7430A">
      <w:pPr>
        <w:spacing w:after="0" w:line="240" w:lineRule="auto"/>
        <w:jc w:val="both"/>
      </w:pPr>
      <w:r>
        <w:rPr>
          <w:rFonts w:ascii="Times New Roman" w:hAnsi="Times New Roman" w:cs="Times New Roman"/>
          <w:sz w:val="28"/>
          <w:szCs w:val="28"/>
        </w:rPr>
        <w:tab/>
        <w:t>- документы о подключении гаража к электрическим сетям или иным сетям инженерного обеспечения;</w:t>
      </w:r>
    </w:p>
    <w:p w:rsidR="00FC696E" w:rsidRDefault="00E7430A">
      <w:pPr>
        <w:spacing w:after="0" w:line="240" w:lineRule="auto"/>
        <w:jc w:val="both"/>
      </w:pPr>
      <w:r>
        <w:rPr>
          <w:rFonts w:ascii="Times New Roman" w:hAnsi="Times New Roman" w:cs="Times New Roman"/>
          <w:sz w:val="28"/>
          <w:szCs w:val="28"/>
        </w:rPr>
        <w:tab/>
        <w:t>- документы о наследстве, если гараж принадлежал наследодателю;</w:t>
      </w:r>
    </w:p>
    <w:p w:rsidR="00FC696E" w:rsidRDefault="00E7430A">
      <w:pPr>
        <w:spacing w:after="0" w:line="240" w:lineRule="auto"/>
        <w:jc w:val="both"/>
      </w:pPr>
      <w:r>
        <w:rPr>
          <w:rFonts w:ascii="Times New Roman" w:hAnsi="Times New Roman" w:cs="Times New Roman"/>
          <w:sz w:val="28"/>
          <w:szCs w:val="28"/>
        </w:rPr>
        <w:tab/>
        <w:t>- документы, подтверждающие приобретение гаража у другого лица.</w:t>
      </w:r>
    </w:p>
    <w:p w:rsidR="00FC696E" w:rsidRDefault="00E7430A">
      <w:pPr>
        <w:spacing w:after="0" w:line="240" w:lineRule="auto"/>
        <w:jc w:val="both"/>
      </w:pPr>
      <w:r>
        <w:rPr>
          <w:rFonts w:ascii="Times New Roman" w:hAnsi="Times New Roman" w:cs="Times New Roman"/>
          <w:sz w:val="28"/>
          <w:szCs w:val="28"/>
        </w:rPr>
        <w:tab/>
        <w:t>Если у гражданина нет указанных выше документов, это не означает, что он не сможет оформить гараж. Региональные органы власти наделены полномочиями по определению дополнительного перечня документов, на основании которых человек может зарегистрировать гараж по «гаражной амнистии».</w:t>
      </w:r>
    </w:p>
    <w:p w:rsidR="00FC696E" w:rsidRDefault="00E7430A">
      <w:pPr>
        <w:spacing w:after="0" w:line="240" w:lineRule="auto"/>
        <w:jc w:val="both"/>
      </w:pPr>
      <w:r>
        <w:rPr>
          <w:rFonts w:ascii="Times New Roman" w:hAnsi="Times New Roman" w:cs="Times New Roman"/>
          <w:sz w:val="28"/>
          <w:szCs w:val="28"/>
        </w:rPr>
        <w:tab/>
        <w:t>Для</w:t>
      </w:r>
      <w:r w:rsidR="00C4714E">
        <w:rPr>
          <w:rFonts w:ascii="Times New Roman" w:hAnsi="Times New Roman" w:cs="Times New Roman"/>
          <w:sz w:val="28"/>
          <w:szCs w:val="28"/>
        </w:rPr>
        <w:t xml:space="preserve"> того</w:t>
      </w:r>
      <w:proofErr w:type="gramStart"/>
      <w:r w:rsidR="00C4714E">
        <w:rPr>
          <w:rFonts w:ascii="Times New Roman" w:hAnsi="Times New Roman" w:cs="Times New Roman"/>
          <w:sz w:val="28"/>
          <w:szCs w:val="28"/>
        </w:rPr>
        <w:t>,</w:t>
      </w:r>
      <w:proofErr w:type="gramEnd"/>
      <w:r w:rsidR="00C4714E">
        <w:rPr>
          <w:rFonts w:ascii="Times New Roman" w:hAnsi="Times New Roman" w:cs="Times New Roman"/>
          <w:sz w:val="28"/>
          <w:szCs w:val="28"/>
        </w:rPr>
        <w:t xml:space="preserve"> чтобы</w:t>
      </w:r>
      <w:r>
        <w:rPr>
          <w:rFonts w:ascii="Times New Roman" w:hAnsi="Times New Roman" w:cs="Times New Roman"/>
          <w:sz w:val="28"/>
          <w:szCs w:val="28"/>
        </w:rPr>
        <w:t xml:space="preserve"> выяснить, стоит ли земельный участок под гаражом на кадастровом учете. Это можно сделать, обратившись в МФЦ, либо посмотреть данную информацию на Публичной кадастровой карте Росреестра (</w:t>
      </w:r>
      <w:hyperlink r:id="rId6">
        <w:r>
          <w:rPr>
            <w:rStyle w:val="a5"/>
            <w:rFonts w:ascii="Times New Roman" w:hAnsi="Times New Roman" w:cs="Times New Roman"/>
            <w:sz w:val="28"/>
            <w:szCs w:val="28"/>
            <w:lang w:val="en-US"/>
          </w:rPr>
          <w:t>https</w:t>
        </w:r>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pkk</w:t>
        </w:r>
        <w:proofErr w:type="spellEnd"/>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rosreestr</w:t>
        </w:r>
        <w:proofErr w:type="spellEnd"/>
        <w:r>
          <w:rPr>
            <w:rStyle w:val="a5"/>
            <w:rFonts w:ascii="Times New Roman" w:hAnsi="Times New Roman" w:cs="Times New Roman"/>
            <w:sz w:val="28"/>
            <w:szCs w:val="28"/>
          </w:rPr>
          <w:t>.</w:t>
        </w:r>
        <w:proofErr w:type="spellStart"/>
        <w:r>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w:t>
      </w:r>
    </w:p>
    <w:p w:rsidR="00FC696E" w:rsidRDefault="00E7430A">
      <w:pPr>
        <w:spacing w:after="0" w:line="240" w:lineRule="auto"/>
        <w:jc w:val="both"/>
      </w:pPr>
      <w:r>
        <w:rPr>
          <w:rFonts w:ascii="Times New Roman" w:hAnsi="Times New Roman" w:cs="Times New Roman"/>
          <w:sz w:val="28"/>
          <w:szCs w:val="28"/>
        </w:rPr>
        <w:tab/>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земельный участок стоит на кадастровом учете и у него есть точные границы, то гражданину необходимо обратиться к кадастровому инженеру за подготовкой технического плана на гараж», - отмечает генеральный директор ООО «Центра технической инвентаризации» Владимирской области Илья Сурков.</w:t>
      </w:r>
    </w:p>
    <w:p w:rsidR="00FC696E" w:rsidRDefault="00E7430A">
      <w:pPr>
        <w:spacing w:after="0" w:line="240" w:lineRule="auto"/>
        <w:jc w:val="both"/>
      </w:pPr>
      <w:r>
        <w:rPr>
          <w:rFonts w:ascii="Times New Roman" w:hAnsi="Times New Roman" w:cs="Times New Roman"/>
          <w:sz w:val="28"/>
          <w:szCs w:val="28"/>
        </w:rPr>
        <w:tab/>
        <w:t xml:space="preserve">Если земельный участок не стоит на кадастровом учете, то гражданину необходимо обратиться в орган местного самоуправления с целью образования земельного участка под гаражом и предоставления его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собственность.</w:t>
      </w:r>
    </w:p>
    <w:p w:rsidR="00FC696E" w:rsidRDefault="00E7430A">
      <w:pPr>
        <w:spacing w:after="0" w:line="240" w:lineRule="auto"/>
        <w:jc w:val="both"/>
      </w:pPr>
      <w:r>
        <w:rPr>
          <w:rFonts w:ascii="Times New Roman" w:hAnsi="Times New Roman" w:cs="Times New Roman"/>
          <w:sz w:val="28"/>
          <w:szCs w:val="28"/>
        </w:rPr>
        <w:tab/>
        <w:t xml:space="preserve">Когда будет принято решение о предварительном согласовании  предоставления земельного участка и подготовлен технический план на гараж, орган местного самоуправления подаст в </w:t>
      </w:r>
      <w:proofErr w:type="spellStart"/>
      <w:r>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заявление о регистрации права собственности гражданина на земельный участок, а также заявление о постановке на государственный кадастровый учет и регистрацию права собственности на гараж. По окончании вышеуказанных процедур орган местного самоуправления передает гражданину выписки из ЕГРН, подтверждающие регистрацию права собственности гражданина на гараж и земельный участок под ним.</w:t>
      </w:r>
    </w:p>
    <w:p w:rsidR="00FC696E" w:rsidRDefault="00E7430A">
      <w:pPr>
        <w:pStyle w:val="30"/>
        <w:spacing w:after="0"/>
        <w:ind w:left="0" w:firstLine="709"/>
        <w:contextualSpacing/>
        <w:jc w:val="right"/>
        <w:rPr>
          <w:i/>
          <w:color w:val="201600"/>
          <w:sz w:val="24"/>
          <w:szCs w:val="24"/>
        </w:rPr>
      </w:pPr>
      <w:r>
        <w:rPr>
          <w:i/>
          <w:color w:val="201600"/>
          <w:sz w:val="24"/>
          <w:szCs w:val="24"/>
        </w:rPr>
        <w:lastRenderedPageBreak/>
        <w:t xml:space="preserve">Материал подготовлен Управлением Росреестра </w:t>
      </w:r>
    </w:p>
    <w:p w:rsidR="00FC696E" w:rsidRDefault="00E7430A">
      <w:pPr>
        <w:pStyle w:val="30"/>
        <w:spacing w:after="0"/>
        <w:ind w:left="0" w:firstLine="709"/>
        <w:contextualSpacing/>
        <w:jc w:val="right"/>
        <w:rPr>
          <w:i/>
          <w:color w:val="201600"/>
          <w:sz w:val="24"/>
          <w:szCs w:val="24"/>
        </w:rPr>
      </w:pPr>
      <w:r>
        <w:rPr>
          <w:i/>
          <w:color w:val="201600"/>
          <w:sz w:val="24"/>
          <w:szCs w:val="24"/>
        </w:rPr>
        <w:t>по Владимирской области</w:t>
      </w:r>
    </w:p>
    <w:p w:rsidR="00FC696E" w:rsidRDefault="00E7430A">
      <w:pPr>
        <w:ind w:firstLine="709"/>
        <w:jc w:val="both"/>
        <w:rPr>
          <w:rFonts w:ascii="Segoe UI" w:hAnsi="Segoe UI" w:cs="Segoe UI"/>
          <w:b/>
          <w:color w:val="0070C0"/>
          <w:lang w:eastAsia="sk-SK"/>
        </w:rPr>
      </w:pPr>
      <w:r>
        <w:rPr>
          <w:rFonts w:ascii="Segoe UI" w:hAnsi="Segoe UI" w:cs="Segoe UI"/>
          <w:b/>
          <w:noProof/>
          <w:color w:val="0070C0"/>
          <w:lang w:eastAsia="ru-RU"/>
        </w:rPr>
        <mc:AlternateContent>
          <mc:Choice Requires="wps">
            <w:drawing>
              <wp:anchor distT="8890" distB="8255" distL="8255" distR="8890" simplePos="0" relativeHeight="2" behindDoc="0" locked="0" layoutInCell="1" allowOverlap="1" wp14:anchorId="0ACE44A2">
                <wp:simplePos x="0" y="0"/>
                <wp:positionH relativeFrom="column">
                  <wp:posOffset>-75565</wp:posOffset>
                </wp:positionH>
                <wp:positionV relativeFrom="paragraph">
                  <wp:posOffset>48895</wp:posOffset>
                </wp:positionV>
                <wp:extent cx="6000750" cy="635"/>
                <wp:effectExtent l="8255" t="8890" r="8890" b="8255"/>
                <wp:wrapNone/>
                <wp:docPr id="2" name="Прямая со стрелкой 2"/>
                <wp:cNvGraphicFramePr/>
                <a:graphic xmlns:a="http://schemas.openxmlformats.org/drawingml/2006/main">
                  <a:graphicData uri="http://schemas.microsoft.com/office/word/2010/wordprocessingShape">
                    <wps:wsp>
                      <wps:cNvCnPr/>
                      <wps:spPr>
                        <a:xfrm>
                          <a:off x="0" y="0"/>
                          <a:ext cx="6000840" cy="720"/>
                        </a:xfrm>
                        <a:prstGeom prst="straightConnector1">
                          <a:avLst/>
                        </a:prstGeom>
                        <a:noFill/>
                        <a:ln w="15875">
                          <a:solidFill>
                            <a:srgbClr val="0070C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type id="_x0000_t32" coordsize="21600,21600" o:spt="32" path="m,l21600,21600nfe">
                <v:stroke joinstyle="miter"/>
                <v:path gradientshapeok="t" o:connecttype="rect" textboxrect="0,0,21600,21600"/>
              </v:shapetype>
              <v:shape id="shape_0" ID="Прямая со стрелкой 2" path="m0,0l-2147483648,-2147483647e" stroked="t" o:allowincell="f" style="position:absolute;margin-left:-5.95pt;margin-top:3.85pt;width:472.45pt;height:0pt;mso-wrap-style:none;v-text-anchor:middle" wp14:anchorId="0ACE44A2" type="_x0000_t32">
                <v:fill o:detectmouseclick="t" on="false"/>
                <v:stroke color="#0070c0" weight="15840" joinstyle="round" endcap="flat"/>
                <w10:wrap type="none"/>
              </v:shape>
            </w:pict>
          </mc:Fallback>
        </mc:AlternateContent>
      </w:r>
    </w:p>
    <w:p w:rsidR="00FC696E" w:rsidRDefault="00E7430A">
      <w:pPr>
        <w:jc w:val="both"/>
        <w:rPr>
          <w:rFonts w:ascii="Segoe UI" w:hAnsi="Segoe UI" w:cs="Segoe UI"/>
          <w:b/>
          <w:lang w:eastAsia="sk-SK"/>
        </w:rPr>
      </w:pPr>
      <w:r>
        <w:rPr>
          <w:rFonts w:ascii="Segoe UI" w:hAnsi="Segoe UI" w:cs="Segoe UI"/>
          <w:b/>
          <w:lang w:eastAsia="sk-SK"/>
        </w:rPr>
        <w:t>Контакты для СМИ</w:t>
      </w:r>
    </w:p>
    <w:p w:rsidR="00FC696E" w:rsidRDefault="00E7430A">
      <w:pPr>
        <w:pStyle w:val="af2"/>
        <w:spacing w:after="0"/>
      </w:pPr>
      <w:r>
        <w:rPr>
          <w:rFonts w:eastAsia="Calibri" w:cs="Segoe UI"/>
          <w:lang w:eastAsia="en-US"/>
        </w:rPr>
        <w:t>Управление Росреестра по Владимирской области</w:t>
      </w:r>
    </w:p>
    <w:p w:rsidR="00FC696E" w:rsidRDefault="00E7430A">
      <w:pPr>
        <w:pStyle w:val="af2"/>
        <w:spacing w:after="0"/>
      </w:pPr>
      <w:r>
        <w:rPr>
          <w:rFonts w:eastAsia="Calibri" w:cs="Segoe UI"/>
          <w:lang w:eastAsia="en-US"/>
        </w:rPr>
        <w:t xml:space="preserve">г. Владимир, ул. </w:t>
      </w:r>
      <w:proofErr w:type="gramStart"/>
      <w:r>
        <w:rPr>
          <w:rFonts w:eastAsia="Calibri" w:cs="Segoe UI"/>
          <w:lang w:eastAsia="en-US"/>
        </w:rPr>
        <w:t>Офицерская</w:t>
      </w:r>
      <w:proofErr w:type="gramEnd"/>
      <w:r>
        <w:rPr>
          <w:rFonts w:eastAsia="Calibri" w:cs="Segoe UI"/>
          <w:lang w:eastAsia="en-US"/>
        </w:rPr>
        <w:t>, д. 33-а</w:t>
      </w:r>
    </w:p>
    <w:p w:rsidR="00FC696E" w:rsidRDefault="00E7430A">
      <w:pPr>
        <w:pStyle w:val="af2"/>
        <w:spacing w:after="0"/>
      </w:pPr>
      <w:r>
        <w:rPr>
          <w:rFonts w:eastAsia="Calibri" w:cs="Segoe UI"/>
          <w:lang w:eastAsia="en-US"/>
        </w:rPr>
        <w:t>Отдел организации, мониторинга и контроля</w:t>
      </w:r>
    </w:p>
    <w:p w:rsidR="00FC696E" w:rsidRDefault="00E7430A">
      <w:pPr>
        <w:pStyle w:val="af2"/>
        <w:spacing w:after="0"/>
      </w:pPr>
      <w:r>
        <w:rPr>
          <w:rFonts w:eastAsia="Calibri" w:cs="Segoe UI"/>
          <w:lang w:eastAsia="en-US"/>
        </w:rPr>
        <w:t>(4922) 45-08-29</w:t>
      </w:r>
    </w:p>
    <w:p w:rsidR="00FC696E" w:rsidRDefault="00E7430A">
      <w:pPr>
        <w:rPr>
          <w:rFonts w:ascii="Times New Roman" w:hAnsi="Times New Roman"/>
          <w:sz w:val="24"/>
          <w:szCs w:val="24"/>
        </w:rPr>
      </w:pPr>
      <w:r>
        <w:rPr>
          <w:rFonts w:ascii="Times New Roman" w:hAnsi="Times New Roman"/>
          <w:sz w:val="24"/>
          <w:szCs w:val="24"/>
        </w:rPr>
        <w:t>(4922) 45-08-26</w:t>
      </w:r>
    </w:p>
    <w:sectPr w:rsidR="00FC696E">
      <w:pgSz w:w="11906" w:h="16838"/>
      <w:pgMar w:top="1620" w:right="850" w:bottom="851"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6E"/>
    <w:rsid w:val="00B1327C"/>
    <w:rsid w:val="00C4714E"/>
    <w:rsid w:val="00E7430A"/>
    <w:rsid w:val="00ED521F"/>
    <w:rsid w:val="00FC696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DF02F6"/>
    <w:rPr>
      <w:rFonts w:ascii="Segoe UI" w:hAnsi="Segoe UI" w:cs="Segoe UI"/>
      <w:sz w:val="18"/>
      <w:szCs w:val="18"/>
    </w:rPr>
  </w:style>
  <w:style w:type="character" w:customStyle="1" w:styleId="10">
    <w:name w:val="Заголовок 1 Знак"/>
    <w:basedOn w:val="a0"/>
    <w:link w:val="1"/>
    <w:uiPriority w:val="9"/>
    <w:qFormat/>
    <w:rsid w:val="00235EEF"/>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unhideWhenUsed/>
    <w:rsid w:val="00495C8F"/>
    <w:rPr>
      <w:color w:val="0563C1" w:themeColor="hyperlink"/>
      <w:u w:val="single"/>
    </w:rPr>
  </w:style>
  <w:style w:type="character" w:styleId="a6">
    <w:name w:val="annotation reference"/>
    <w:basedOn w:val="a0"/>
    <w:uiPriority w:val="99"/>
    <w:semiHidden/>
    <w:unhideWhenUsed/>
    <w:qFormat/>
    <w:rsid w:val="00F93AAB"/>
    <w:rPr>
      <w:sz w:val="16"/>
      <w:szCs w:val="16"/>
    </w:rPr>
  </w:style>
  <w:style w:type="character" w:customStyle="1" w:styleId="a7">
    <w:name w:val="Текст примечания Знак"/>
    <w:basedOn w:val="a0"/>
    <w:link w:val="a8"/>
    <w:uiPriority w:val="99"/>
    <w:semiHidden/>
    <w:qFormat/>
    <w:rsid w:val="00F93AAB"/>
    <w:rPr>
      <w:sz w:val="20"/>
      <w:szCs w:val="20"/>
    </w:rPr>
  </w:style>
  <w:style w:type="character" w:customStyle="1" w:styleId="a9">
    <w:name w:val="Тема примечания Знак"/>
    <w:basedOn w:val="a7"/>
    <w:link w:val="aa"/>
    <w:uiPriority w:val="99"/>
    <w:semiHidden/>
    <w:qFormat/>
    <w:rsid w:val="00F93AAB"/>
    <w:rPr>
      <w:b/>
      <w:bCs/>
      <w:sz w:val="20"/>
      <w:szCs w:val="20"/>
    </w:rPr>
  </w:style>
  <w:style w:type="character" w:customStyle="1" w:styleId="3">
    <w:name w:val="Основной текст с отступом 3 Знак"/>
    <w:basedOn w:val="a0"/>
    <w:link w:val="30"/>
    <w:uiPriority w:val="99"/>
    <w:qFormat/>
    <w:rsid w:val="00430E6D"/>
    <w:rPr>
      <w:rFonts w:ascii="Times New Roman" w:eastAsia="Arial Unicode MS" w:hAnsi="Times New Roman" w:cs="Mangal"/>
      <w:kern w:val="2"/>
      <w:sz w:val="16"/>
      <w:szCs w:val="14"/>
      <w:lang w:eastAsia="hi-IN" w:bidi="hi-IN"/>
    </w:rPr>
  </w:style>
  <w:style w:type="character" w:customStyle="1" w:styleId="ConsPlusNormal">
    <w:name w:val="ConsPlusNormal Знак"/>
    <w:link w:val="ConsPlusNormal0"/>
    <w:qFormat/>
    <w:locked/>
    <w:rsid w:val="00F96508"/>
    <w:rPr>
      <w:rFonts w:ascii="Arial" w:hAnsi="Arial" w:cs="Arial"/>
      <w:sz w:val="20"/>
      <w:szCs w:val="20"/>
    </w:rPr>
  </w:style>
  <w:style w:type="character" w:customStyle="1" w:styleId="BodyText2">
    <w:name w:val="Body Text 2 Знак"/>
    <w:link w:val="21"/>
    <w:qFormat/>
    <w:rsid w:val="005F3B17"/>
    <w:rPr>
      <w:rFonts w:ascii="Times New Roman" w:eastAsia="Times New Roman" w:hAnsi="Times New Roman" w:cs="Times New Roman"/>
      <w:sz w:val="24"/>
      <w:szCs w:val="20"/>
      <w:lang w:eastAsia="ru-RU"/>
    </w:rPr>
  </w:style>
  <w:style w:type="paragraph" w:customStyle="1" w:styleId="ab">
    <w:name w:val="Заголовок"/>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line="276" w:lineRule="auto"/>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DF02F6"/>
    <w:pPr>
      <w:spacing w:after="0" w:line="240" w:lineRule="auto"/>
    </w:pPr>
    <w:rPr>
      <w:rFonts w:ascii="Segoe UI" w:hAnsi="Segoe UI" w:cs="Segoe UI"/>
      <w:sz w:val="18"/>
      <w:szCs w:val="18"/>
    </w:rPr>
  </w:style>
  <w:style w:type="paragraph" w:styleId="af0">
    <w:name w:val="No Spacing"/>
    <w:uiPriority w:val="1"/>
    <w:qFormat/>
    <w:rsid w:val="00235EEF"/>
  </w:style>
  <w:style w:type="paragraph" w:styleId="af1">
    <w:name w:val="List Paragraph"/>
    <w:basedOn w:val="a"/>
    <w:uiPriority w:val="34"/>
    <w:qFormat/>
    <w:rsid w:val="00CB3098"/>
    <w:pPr>
      <w:spacing w:line="252" w:lineRule="auto"/>
      <w:ind w:left="720"/>
      <w:contextualSpacing/>
    </w:pPr>
  </w:style>
  <w:style w:type="paragraph" w:styleId="a8">
    <w:name w:val="annotation text"/>
    <w:basedOn w:val="a"/>
    <w:link w:val="a7"/>
    <w:uiPriority w:val="99"/>
    <w:semiHidden/>
    <w:unhideWhenUsed/>
    <w:qFormat/>
    <w:rsid w:val="00F93AAB"/>
    <w:pPr>
      <w:spacing w:line="240" w:lineRule="auto"/>
    </w:pPr>
    <w:rPr>
      <w:sz w:val="20"/>
      <w:szCs w:val="20"/>
    </w:rPr>
  </w:style>
  <w:style w:type="paragraph" w:styleId="aa">
    <w:name w:val="annotation subject"/>
    <w:basedOn w:val="a8"/>
    <w:next w:val="a8"/>
    <w:link w:val="a9"/>
    <w:uiPriority w:val="99"/>
    <w:semiHidden/>
    <w:unhideWhenUsed/>
    <w:qFormat/>
    <w:rsid w:val="00F93AAB"/>
    <w:rPr>
      <w:b/>
      <w:bCs/>
    </w:rPr>
  </w:style>
  <w:style w:type="paragraph" w:styleId="af2">
    <w:name w:val="Normal (Web)"/>
    <w:basedOn w:val="a"/>
    <w:uiPriority w:val="99"/>
    <w:unhideWhenUsed/>
    <w:qFormat/>
    <w:rsid w:val="00430E6D"/>
    <w:pPr>
      <w:spacing w:after="96" w:line="240" w:lineRule="auto"/>
    </w:pPr>
    <w:rPr>
      <w:rFonts w:ascii="Times New Roman" w:eastAsia="Times New Roman" w:hAnsi="Times New Roman" w:cs="Times New Roman"/>
      <w:sz w:val="24"/>
      <w:szCs w:val="24"/>
      <w:lang w:eastAsia="ru-RU"/>
    </w:rPr>
  </w:style>
  <w:style w:type="paragraph" w:styleId="30">
    <w:name w:val="Body Text Indent 3"/>
    <w:basedOn w:val="a"/>
    <w:link w:val="3"/>
    <w:uiPriority w:val="99"/>
    <w:unhideWhenUsed/>
    <w:qFormat/>
    <w:rsid w:val="00430E6D"/>
    <w:pPr>
      <w:widowControl w:val="0"/>
      <w:spacing w:after="120" w:line="240" w:lineRule="auto"/>
      <w:ind w:left="283"/>
    </w:pPr>
    <w:rPr>
      <w:rFonts w:ascii="Times New Roman" w:eastAsia="Arial Unicode MS" w:hAnsi="Times New Roman" w:cs="Mangal"/>
      <w:kern w:val="2"/>
      <w:sz w:val="16"/>
      <w:szCs w:val="14"/>
      <w:lang w:eastAsia="hi-IN" w:bidi="hi-IN"/>
    </w:rPr>
  </w:style>
  <w:style w:type="paragraph" w:customStyle="1" w:styleId="ConsPlusNormal0">
    <w:name w:val="ConsPlusNormal"/>
    <w:link w:val="ConsPlusNormal"/>
    <w:qFormat/>
    <w:rsid w:val="00F96508"/>
    <w:rPr>
      <w:rFonts w:ascii="Arial" w:hAnsi="Arial" w:cs="Arial"/>
      <w:sz w:val="20"/>
      <w:szCs w:val="20"/>
    </w:rPr>
  </w:style>
  <w:style w:type="paragraph" w:customStyle="1" w:styleId="21">
    <w:name w:val="Основной текст 21"/>
    <w:basedOn w:val="a"/>
    <w:link w:val="BodyText2"/>
    <w:qFormat/>
    <w:rsid w:val="005F3B17"/>
    <w:pPr>
      <w:spacing w:after="0" w:line="240" w:lineRule="auto"/>
      <w:jc w:val="both"/>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link w:val="10"/>
    <w:uiPriority w:val="9"/>
    <w:qFormat/>
    <w:rsid w:val="00235E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DF02F6"/>
    <w:rPr>
      <w:rFonts w:ascii="Segoe UI" w:hAnsi="Segoe UI" w:cs="Segoe UI"/>
      <w:sz w:val="18"/>
      <w:szCs w:val="18"/>
    </w:rPr>
  </w:style>
  <w:style w:type="character" w:customStyle="1" w:styleId="10">
    <w:name w:val="Заголовок 1 Знак"/>
    <w:basedOn w:val="a0"/>
    <w:link w:val="1"/>
    <w:uiPriority w:val="9"/>
    <w:qFormat/>
    <w:rsid w:val="00235EEF"/>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unhideWhenUsed/>
    <w:rsid w:val="00495C8F"/>
    <w:rPr>
      <w:color w:val="0563C1" w:themeColor="hyperlink"/>
      <w:u w:val="single"/>
    </w:rPr>
  </w:style>
  <w:style w:type="character" w:styleId="a6">
    <w:name w:val="annotation reference"/>
    <w:basedOn w:val="a0"/>
    <w:uiPriority w:val="99"/>
    <w:semiHidden/>
    <w:unhideWhenUsed/>
    <w:qFormat/>
    <w:rsid w:val="00F93AAB"/>
    <w:rPr>
      <w:sz w:val="16"/>
      <w:szCs w:val="16"/>
    </w:rPr>
  </w:style>
  <w:style w:type="character" w:customStyle="1" w:styleId="a7">
    <w:name w:val="Текст примечания Знак"/>
    <w:basedOn w:val="a0"/>
    <w:link w:val="a8"/>
    <w:uiPriority w:val="99"/>
    <w:semiHidden/>
    <w:qFormat/>
    <w:rsid w:val="00F93AAB"/>
    <w:rPr>
      <w:sz w:val="20"/>
      <w:szCs w:val="20"/>
    </w:rPr>
  </w:style>
  <w:style w:type="character" w:customStyle="1" w:styleId="a9">
    <w:name w:val="Тема примечания Знак"/>
    <w:basedOn w:val="a7"/>
    <w:link w:val="aa"/>
    <w:uiPriority w:val="99"/>
    <w:semiHidden/>
    <w:qFormat/>
    <w:rsid w:val="00F93AAB"/>
    <w:rPr>
      <w:b/>
      <w:bCs/>
      <w:sz w:val="20"/>
      <w:szCs w:val="20"/>
    </w:rPr>
  </w:style>
  <w:style w:type="character" w:customStyle="1" w:styleId="3">
    <w:name w:val="Основной текст с отступом 3 Знак"/>
    <w:basedOn w:val="a0"/>
    <w:link w:val="30"/>
    <w:uiPriority w:val="99"/>
    <w:qFormat/>
    <w:rsid w:val="00430E6D"/>
    <w:rPr>
      <w:rFonts w:ascii="Times New Roman" w:eastAsia="Arial Unicode MS" w:hAnsi="Times New Roman" w:cs="Mangal"/>
      <w:kern w:val="2"/>
      <w:sz w:val="16"/>
      <w:szCs w:val="14"/>
      <w:lang w:eastAsia="hi-IN" w:bidi="hi-IN"/>
    </w:rPr>
  </w:style>
  <w:style w:type="character" w:customStyle="1" w:styleId="ConsPlusNormal">
    <w:name w:val="ConsPlusNormal Знак"/>
    <w:link w:val="ConsPlusNormal0"/>
    <w:qFormat/>
    <w:locked/>
    <w:rsid w:val="00F96508"/>
    <w:rPr>
      <w:rFonts w:ascii="Arial" w:hAnsi="Arial" w:cs="Arial"/>
      <w:sz w:val="20"/>
      <w:szCs w:val="20"/>
    </w:rPr>
  </w:style>
  <w:style w:type="character" w:customStyle="1" w:styleId="BodyText2">
    <w:name w:val="Body Text 2 Знак"/>
    <w:link w:val="21"/>
    <w:qFormat/>
    <w:rsid w:val="005F3B17"/>
    <w:rPr>
      <w:rFonts w:ascii="Times New Roman" w:eastAsia="Times New Roman" w:hAnsi="Times New Roman" w:cs="Times New Roman"/>
      <w:sz w:val="24"/>
      <w:szCs w:val="20"/>
      <w:lang w:eastAsia="ru-RU"/>
    </w:rPr>
  </w:style>
  <w:style w:type="paragraph" w:customStyle="1" w:styleId="ab">
    <w:name w:val="Заголовок"/>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line="276" w:lineRule="auto"/>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styleId="a4">
    <w:name w:val="Balloon Text"/>
    <w:basedOn w:val="a"/>
    <w:link w:val="a3"/>
    <w:uiPriority w:val="99"/>
    <w:semiHidden/>
    <w:unhideWhenUsed/>
    <w:qFormat/>
    <w:rsid w:val="00DF02F6"/>
    <w:pPr>
      <w:spacing w:after="0" w:line="240" w:lineRule="auto"/>
    </w:pPr>
    <w:rPr>
      <w:rFonts w:ascii="Segoe UI" w:hAnsi="Segoe UI" w:cs="Segoe UI"/>
      <w:sz w:val="18"/>
      <w:szCs w:val="18"/>
    </w:rPr>
  </w:style>
  <w:style w:type="paragraph" w:styleId="af0">
    <w:name w:val="No Spacing"/>
    <w:uiPriority w:val="1"/>
    <w:qFormat/>
    <w:rsid w:val="00235EEF"/>
  </w:style>
  <w:style w:type="paragraph" w:styleId="af1">
    <w:name w:val="List Paragraph"/>
    <w:basedOn w:val="a"/>
    <w:uiPriority w:val="34"/>
    <w:qFormat/>
    <w:rsid w:val="00CB3098"/>
    <w:pPr>
      <w:spacing w:line="252" w:lineRule="auto"/>
      <w:ind w:left="720"/>
      <w:contextualSpacing/>
    </w:pPr>
  </w:style>
  <w:style w:type="paragraph" w:styleId="a8">
    <w:name w:val="annotation text"/>
    <w:basedOn w:val="a"/>
    <w:link w:val="a7"/>
    <w:uiPriority w:val="99"/>
    <w:semiHidden/>
    <w:unhideWhenUsed/>
    <w:qFormat/>
    <w:rsid w:val="00F93AAB"/>
    <w:pPr>
      <w:spacing w:line="240" w:lineRule="auto"/>
    </w:pPr>
    <w:rPr>
      <w:sz w:val="20"/>
      <w:szCs w:val="20"/>
    </w:rPr>
  </w:style>
  <w:style w:type="paragraph" w:styleId="aa">
    <w:name w:val="annotation subject"/>
    <w:basedOn w:val="a8"/>
    <w:next w:val="a8"/>
    <w:link w:val="a9"/>
    <w:uiPriority w:val="99"/>
    <w:semiHidden/>
    <w:unhideWhenUsed/>
    <w:qFormat/>
    <w:rsid w:val="00F93AAB"/>
    <w:rPr>
      <w:b/>
      <w:bCs/>
    </w:rPr>
  </w:style>
  <w:style w:type="paragraph" w:styleId="af2">
    <w:name w:val="Normal (Web)"/>
    <w:basedOn w:val="a"/>
    <w:uiPriority w:val="99"/>
    <w:unhideWhenUsed/>
    <w:qFormat/>
    <w:rsid w:val="00430E6D"/>
    <w:pPr>
      <w:spacing w:after="96" w:line="240" w:lineRule="auto"/>
    </w:pPr>
    <w:rPr>
      <w:rFonts w:ascii="Times New Roman" w:eastAsia="Times New Roman" w:hAnsi="Times New Roman" w:cs="Times New Roman"/>
      <w:sz w:val="24"/>
      <w:szCs w:val="24"/>
      <w:lang w:eastAsia="ru-RU"/>
    </w:rPr>
  </w:style>
  <w:style w:type="paragraph" w:styleId="30">
    <w:name w:val="Body Text Indent 3"/>
    <w:basedOn w:val="a"/>
    <w:link w:val="3"/>
    <w:uiPriority w:val="99"/>
    <w:unhideWhenUsed/>
    <w:qFormat/>
    <w:rsid w:val="00430E6D"/>
    <w:pPr>
      <w:widowControl w:val="0"/>
      <w:spacing w:after="120" w:line="240" w:lineRule="auto"/>
      <w:ind w:left="283"/>
    </w:pPr>
    <w:rPr>
      <w:rFonts w:ascii="Times New Roman" w:eastAsia="Arial Unicode MS" w:hAnsi="Times New Roman" w:cs="Mangal"/>
      <w:kern w:val="2"/>
      <w:sz w:val="16"/>
      <w:szCs w:val="14"/>
      <w:lang w:eastAsia="hi-IN" w:bidi="hi-IN"/>
    </w:rPr>
  </w:style>
  <w:style w:type="paragraph" w:customStyle="1" w:styleId="ConsPlusNormal0">
    <w:name w:val="ConsPlusNormal"/>
    <w:link w:val="ConsPlusNormal"/>
    <w:qFormat/>
    <w:rsid w:val="00F96508"/>
    <w:rPr>
      <w:rFonts w:ascii="Arial" w:hAnsi="Arial" w:cs="Arial"/>
      <w:sz w:val="20"/>
      <w:szCs w:val="20"/>
    </w:rPr>
  </w:style>
  <w:style w:type="paragraph" w:customStyle="1" w:styleId="21">
    <w:name w:val="Основной текст 21"/>
    <w:basedOn w:val="a"/>
    <w:link w:val="BodyText2"/>
    <w:qFormat/>
    <w:rsid w:val="005F3B17"/>
    <w:pPr>
      <w:spacing w:after="0" w:line="240" w:lineRule="auto"/>
      <w:jc w:val="both"/>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kk.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3</Pages>
  <Words>648</Words>
  <Characters>4530</Characters>
  <Application>Microsoft Office Word</Application>
  <DocSecurity>0</DocSecurity>
  <Lines>102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Росреестра по Владимирской области</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Пушкарская Диана Дмитриевна</dc:creator>
  <dc:description/>
  <cp:lastModifiedBy>Павловская Юлия Владимировна</cp:lastModifiedBy>
  <cp:revision>83</cp:revision>
  <cp:lastPrinted>2024-07-22T12:31:00Z</cp:lastPrinted>
  <dcterms:created xsi:type="dcterms:W3CDTF">2022-06-23T07:13:00Z</dcterms:created>
  <dcterms:modified xsi:type="dcterms:W3CDTF">2024-07-24T14:34:00Z</dcterms:modified>
  <dc:language>ru-RU</dc:language>
</cp:coreProperties>
</file>