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tabs>
          <w:tab w:val="clear" w:pos="708" w:leader="none"/>
          <w:tab w:val="left" w:pos="311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3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1990725" cy="704850"/>
                <wp:effectExtent l="0" t="0" r="0" b="0"/>
                <wp:wrapSquare wrapText="bothSides"/>
                <wp:docPr id="1" name="Рисунок 3" descr="C:\Users\E.Kudryashova\AppData\Local\Microsoft\Windows\INetCache\Content.Word\Лого основное 2 Владимир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C:\Users\E.Kudryashova\AppData\Local\Microsoft\Windows\INetCache\Content.Word\Лого основное 2 Владимирская область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so-position-horizontal:left;mso-position-vertical-relative:text;margin-top:0.05pt;mso-position-vertical:absolute;width:156.75pt;height:55.50pt;mso-wrap-distance-left:0.00pt;mso-wrap-distance-top:0.00pt;mso-wrap-distance-right:9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36"/>
      </w:pPr>
      <w:r>
        <w:br w:type="textWrapping" w:clear="all"/>
      </w:r>
      <w:r/>
    </w:p>
    <w:p>
      <w:pPr>
        <w:pStyle w:val="636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36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ПРЕСС-РЕЛИЗ</w:t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</w:pPr>
      <w:r/>
      <w:r/>
    </w:p>
    <w:p>
      <w:pPr>
        <w:pStyle w:val="617"/>
        <w:jc w:val="center"/>
        <w:spacing w:before="0" w:after="0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Управление Росреестра по Владимирской области информирует </w:t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об основаниях для возврата заявления и документов </w:t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без рассмотрения</w:t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jc w:val="center"/>
        <w:spacing w:before="0" w:after="0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617"/>
        <w:ind w:firstLine="73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Основания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 установлены Федеральным законом от 13.07.2015 №2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18-ФЗ «О государственной регистрации недвижимости» (Закон №218-ФЗ). В соответствии с данной статьей заявление о государственном кадастровом учете и (или) государственной регистрации прав и документы, прилагаемые к нему, возвращаются без рассмотрения, если: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1) заявление и документы представлены в форме электронных документов, электронных образов документов в формате, не соответствующем формату, установленному органом нормативно-правового регулирования;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1.1) з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аявление о государственной регистрации перехода, прекращения права собственности на объект недвижимости, принадлежащий физическому лицу, заявление о государственной регистрации договора об уступке прав требований по договору участия в долевом строительстве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и прилагаемые к ним документы представлены в форме электронных документов и (или) электронных образов документов, подписанных усиленной квалифицированной электронной подписью, и при этом не соблюдены требования, установленные статьей 36.2 Закона № 218-ФЗ;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2) заявление и документы представлены в форме до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кументов на бумажном носителе и имеют подчистки либо приписки, зачеркнутые слова и иные не оговоренные в них исправления, в том числе документы, исполненные карандашом, имеют серьезные повреждения, которые не позволяют однозначно истолковать их содержание;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Arial Unicode MS" w:cs="Times New Roman"/>
          <w:sz w:val="28"/>
          <w:szCs w:val="28"/>
        </w:rPr>
        <w:t xml:space="preserve">3) информация об уплате государственной пошлины за осуществление государственной реги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4) в Едином государственном реестре недвижимости (ЕГРН) содержится отметка о невозможности государственной регистрации перехода права, ограничен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за исключением случаев, предусмотренных пунктом 4.5 час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ти 1 и пунктом 5 части 3 статьи 15 (при условии совершения сделки при личном участии правообладателя (его законного представителя), частью 1.1 статьи 19 настоящего Федерального закона, а также случая государственной регистрации прав в порядке наследования;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4.1) в ЕГРН содержится отметка о невозможности государственной регистрации перехода, прекращения права собственности на земельный участок из земель сельскохозяйственного назначения и государственной регистрации ипотеки как обрем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енения на такой земельный участок, за исключением перехода права в порядке универсального правопреемства, до устранения собственником такого земельного участка выявленного в рамках федерального государственного земельного контроля (надзора) нарушения обяза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ного контроля (надзора) либо отметка о невозможности государственной регистрации перехода,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ный участок, за исключением перехода права в порядке универсального правопреемства,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5) заявление о государственном кадастровом учете и (или) государственной регистрации прав не подписано заявителем в соответствии с законодательством Российской Федерации;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6) 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Законом № 218-ФЗ;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ab/>
        <w:t xml:space="preserve">7) земельный участок, в отношении которого представлено заявление о его снятии с государственного кадастрового учета, не является преобразуемым и не подлежит снятию с такого учета в соответствии с Законом № 218-ФЗ.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617"/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соответствии с частью 2 статьи 29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Закона № 218-ФЗ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возврат прилагаемых к заявлению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государственном кадастровом учете и (или)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документов, а по основанию, указанному в пункте 3 статьи 25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Закона № 218-ФЗ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течение трех рабочих дней по истечении срока,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казанного в данном пункте. Возврат прилагаемых к заявлению о государственном кадастровом учете и (или) государственной регистрации прав документов, представленных в форме электронных документов и (или) электронных образов документов, не осуществляется»,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отмечает заместитель руководителя Управления Александр Киреев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в соответствии с частью 3 статьи 29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Закона № 218-ФЗ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 регистрации прав обязан уведомить заявит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еля о возврате прилагаемых к заявлению о государственном кадастровом учете и (или) государственной регистрации прав документов с указанием причин возврата в порядке, установленном органом нормативно-правового регулирования, а также возвратить указанные 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ументы заявителю тем же способом, которым они были представлены. В случае, если заявление о государственном кадастровом учете и (или) государственной регистрации прав и прилагаемые к нему документы представлены в форме электронных документов и (или) электр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онных образов документов посредством отправления в электронной форме, орган регистрации прав направляет заявителю только уведомление о возврате таких документов без осуществления государственного кадастрового учета и (или) государственной регистрации прав.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«Во избежание случаев возврата без рассмотрения документов, представленных на государственную регистрацию и (или) госуда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рственный кадастровый учет, рекомендуем правильно и своевременно оплачивать госпошлину, быть внимательным при составлении и подписании документов, а также подготавливать электронные документы в соответствии с требованиями действующего законодательства»,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подчеркивает начальник отдела государственной регистрации недвижимости Управления Мария Стружикова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бращаем внимание, что возврат документов без рассмотрения не препятствует повторному обращению заявителя с приложением того же пакета документов. Однако для осуществления учетно-регистрационных действий причины возврата документов должны быть устране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ны», – отмечает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Уполномоченный по защите прав предпринимателей во Владимирской области Алла Матюшкина.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17"/>
        <w:ind w:firstLine="720"/>
        <w:jc w:val="both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  <w:r>
        <w:rPr>
          <w:i/>
          <w:color w:val="201600"/>
          <w:sz w:val="24"/>
          <w:szCs w:val="24"/>
        </w:rPr>
      </w:r>
    </w:p>
    <w:p>
      <w:pPr>
        <w:pStyle w:val="641"/>
        <w:contextualSpacing/>
        <w:ind w:left="0" w:firstLine="709"/>
        <w:jc w:val="right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  <w:r>
        <w:rPr>
          <w:i/>
          <w:color w:val="201600"/>
          <w:sz w:val="24"/>
          <w:szCs w:val="24"/>
        </w:rPr>
      </w:r>
    </w:p>
    <w:p>
      <w:pPr>
        <w:pStyle w:val="641"/>
        <w:contextualSpacing/>
        <w:ind w:left="0" w:firstLine="709"/>
        <w:jc w:val="right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по Владимирской области</w:t>
      </w:r>
      <w:r>
        <w:rPr>
          <w:i/>
          <w:color w:val="201600"/>
          <w:sz w:val="24"/>
          <w:szCs w:val="24"/>
        </w:rPr>
      </w:r>
    </w:p>
    <w:p>
      <w:pPr>
        <w:pStyle w:val="641"/>
        <w:contextualSpacing/>
        <w:ind w:left="0" w:firstLine="709"/>
        <w:jc w:val="right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  <w:r>
        <w:rPr>
          <w:i/>
          <w:color w:val="201600"/>
          <w:sz w:val="24"/>
          <w:szCs w:val="24"/>
        </w:rPr>
      </w:r>
    </w:p>
    <w:p>
      <w:pPr>
        <w:pStyle w:val="617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color w:val="0070c0"/>
          <w:lang w:eastAsia="sk-SK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" distB="8255" distL="8255" distR="8890" simplePos="0" relativeHeight="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2;o:allowoverlap:true;o:allowincell:true;mso-position-horizontal-relative:text;margin-left:-5.95pt;mso-position-horizontal:absolute;mso-position-vertical-relative:text;margin-top:3.85pt;mso-position-vertical:absolute;width:472.50pt;height:0.05pt;mso-wrap-distance-left:0.65pt;mso-wrap-distance-top:0.70pt;mso-wrap-distance-right:0.70pt;mso-wrap-distance-bottom:0.65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b/>
          <w:color w:val="0070c0"/>
          <w:lang w:eastAsia="sk-SK"/>
        </w:rPr>
      </w:r>
    </w:p>
    <w:p>
      <w:pPr>
        <w:pStyle w:val="617"/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 xml:space="preserve">Контакты для СМИ</w:t>
      </w:r>
      <w:r>
        <w:rPr>
          <w:rFonts w:ascii="Segoe UI" w:hAnsi="Segoe UI" w:cs="Segoe UI"/>
          <w:b/>
          <w:lang w:eastAsia="sk-SK"/>
        </w:rPr>
      </w:r>
    </w:p>
    <w:p>
      <w:pPr>
        <w:pStyle w:val="640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Управление Росреестра по Владимирской области</w:t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640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г. Владимир, ул. Офицерская, д. 33-а</w:t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640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Отдел организации, мониторинга и контроля</w:t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640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(4922) 45-08-29, </w:t>
      </w:r>
      <w:r>
        <w:rPr>
          <w:rFonts w:ascii="Segoe UI" w:hAnsi="Segoe UI" w:eastAsia="Calibri" w:cs="Segoe UI"/>
          <w:sz w:val="18"/>
          <w:szCs w:val="18"/>
          <w:lang w:eastAsia="en-US"/>
        </w:rPr>
      </w:r>
      <w:r>
        <w:rPr>
          <w:rFonts w:ascii="Segoe UI" w:hAnsi="Segoe UI" w:eastAsia="Calibri" w:cs="Segoe UI"/>
          <w:sz w:val="18"/>
          <w:szCs w:val="18"/>
          <w:lang w:eastAsia="en-US"/>
        </w:rPr>
        <w:t xml:space="preserve">(4922) 45-08-26</w:t>
      </w:r>
      <w:r/>
      <w:r>
        <w:rPr>
          <w:rFonts w:ascii="Segoe UI" w:hAnsi="Segoe UI" w:eastAsia="Calibri" w:cs="Segoe UI"/>
          <w:sz w:val="18"/>
          <w:szCs w:val="18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85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Mangal">
    <w:panose1 w:val="02040503050306020203"/>
  </w:font>
  <w:font w:name="Times New Roman">
    <w:panose1 w:val="020206030504050203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33"/>
    <w:link w:val="44"/>
    <w:uiPriority w:val="99"/>
  </w:style>
  <w:style w:type="table" w:styleId="48">
    <w:name w:val="Table Grid"/>
    <w:basedOn w:val="6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next w:val="617"/>
    <w:link w:val="621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19" w:default="1">
    <w:name w:val="Default Paragraph Font"/>
    <w:uiPriority w:val="1"/>
    <w:semiHidden/>
    <w:unhideWhenUsed/>
    <w:qFormat/>
  </w:style>
  <w:style w:type="character" w:styleId="620" w:customStyle="1">
    <w:name w:val="Текст выноски Знак"/>
    <w:basedOn w:val="619"/>
    <w:link w:val="635"/>
    <w:uiPriority w:val="99"/>
    <w:semiHidden/>
    <w:qFormat/>
    <w:rPr>
      <w:rFonts w:ascii="Segoe UI" w:hAnsi="Segoe UI" w:cs="Segoe UI"/>
      <w:sz w:val="18"/>
      <w:szCs w:val="18"/>
    </w:rPr>
  </w:style>
  <w:style w:type="character" w:styleId="621" w:customStyle="1">
    <w:name w:val="Заголовок 1 Знак"/>
    <w:basedOn w:val="619"/>
    <w:uiPriority w:val="9"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22">
    <w:name w:val="Hyperlink"/>
    <w:basedOn w:val="619"/>
    <w:uiPriority w:val="99"/>
    <w:unhideWhenUsed/>
    <w:rPr>
      <w:color w:val="0563c1" w:themeColor="hyperlink"/>
      <w:u w:val="single"/>
    </w:rPr>
  </w:style>
  <w:style w:type="character" w:styleId="623">
    <w:name w:val="annotation reference"/>
    <w:basedOn w:val="619"/>
    <w:uiPriority w:val="99"/>
    <w:semiHidden/>
    <w:unhideWhenUsed/>
    <w:qFormat/>
    <w:rPr>
      <w:sz w:val="16"/>
      <w:szCs w:val="16"/>
    </w:rPr>
  </w:style>
  <w:style w:type="character" w:styleId="624" w:customStyle="1">
    <w:name w:val="Текст примечания Знак"/>
    <w:basedOn w:val="619"/>
    <w:link w:val="638"/>
    <w:uiPriority w:val="99"/>
    <w:semiHidden/>
    <w:qFormat/>
    <w:rPr>
      <w:sz w:val="20"/>
      <w:szCs w:val="20"/>
    </w:rPr>
  </w:style>
  <w:style w:type="character" w:styleId="625" w:customStyle="1">
    <w:name w:val="Тема примечания Знак"/>
    <w:basedOn w:val="624"/>
    <w:link w:val="639"/>
    <w:uiPriority w:val="99"/>
    <w:semiHidden/>
    <w:qFormat/>
    <w:rPr>
      <w:b/>
      <w:bCs/>
      <w:sz w:val="20"/>
      <w:szCs w:val="20"/>
    </w:rPr>
  </w:style>
  <w:style w:type="character" w:styleId="626" w:customStyle="1">
    <w:name w:val="Основной текст с отступом 3 Знак"/>
    <w:basedOn w:val="619"/>
    <w:link w:val="641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627" w:customStyle="1">
    <w:name w:val="ConsPlusNormal Знак"/>
    <w:link w:val="642"/>
    <w:qFormat/>
    <w:rPr>
      <w:rFonts w:ascii="Arial" w:hAnsi="Arial" w:cs="Arial"/>
      <w:sz w:val="20"/>
      <w:szCs w:val="20"/>
    </w:rPr>
  </w:style>
  <w:style w:type="paragraph" w:styleId="628" w:customStyle="1">
    <w:name w:val="Заголовок"/>
    <w:basedOn w:val="617"/>
    <w:next w:val="62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9">
    <w:name w:val="Body Text"/>
    <w:basedOn w:val="617"/>
    <w:pPr>
      <w:spacing w:before="0" w:after="140" w:line="276" w:lineRule="auto"/>
    </w:pPr>
  </w:style>
  <w:style w:type="paragraph" w:styleId="630">
    <w:name w:val="List"/>
    <w:basedOn w:val="629"/>
    <w:rPr>
      <w:rFonts w:ascii="PT Astra Serif" w:hAnsi="PT Astra Serif" w:cs="Noto Sans Devanagari"/>
    </w:rPr>
  </w:style>
  <w:style w:type="paragraph" w:styleId="631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32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33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34">
    <w:name w:val="index heading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35">
    <w:name w:val="Balloon Text"/>
    <w:basedOn w:val="617"/>
    <w:link w:val="62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3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37">
    <w:name w:val="List Paragraph"/>
    <w:basedOn w:val="617"/>
    <w:uiPriority w:val="34"/>
    <w:qFormat/>
    <w:pPr>
      <w:contextualSpacing/>
      <w:ind w:left="720" w:firstLine="0"/>
      <w:spacing w:before="0" w:after="160" w:line="252" w:lineRule="auto"/>
    </w:pPr>
  </w:style>
  <w:style w:type="paragraph" w:styleId="638">
    <w:name w:val="annotation text"/>
    <w:basedOn w:val="617"/>
    <w:link w:val="62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639">
    <w:name w:val="annotation subject"/>
    <w:basedOn w:val="638"/>
    <w:next w:val="638"/>
    <w:link w:val="625"/>
    <w:uiPriority w:val="99"/>
    <w:semiHidden/>
    <w:unhideWhenUsed/>
    <w:qFormat/>
    <w:rPr>
      <w:b/>
      <w:bCs/>
    </w:rPr>
  </w:style>
  <w:style w:type="paragraph" w:styleId="640">
    <w:name w:val="Normal (Web)"/>
    <w:basedOn w:val="617"/>
    <w:uiPriority w:val="99"/>
    <w:unhideWhenUsed/>
    <w:qFormat/>
    <w:pPr>
      <w:spacing w:before="0" w:after="96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1">
    <w:name w:val="Body Text Indent 3"/>
    <w:basedOn w:val="617"/>
    <w:link w:val="626"/>
    <w:uiPriority w:val="99"/>
    <w:unhideWhenUsed/>
    <w:qFormat/>
    <w:pPr>
      <w:ind w:left="283" w:firstLine="0"/>
      <w:spacing w:before="0" w:after="120" w:line="240" w:lineRule="auto"/>
      <w:widowControl w:val="off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642" w:customStyle="1">
    <w:name w:val="ConsPlusNormal"/>
    <w:link w:val="627"/>
    <w:qFormat/>
    <w:pPr>
      <w:jc w:val="left"/>
      <w:spacing w:before="0" w:after="0"/>
      <w:widowControl/>
    </w:pPr>
    <w:rPr>
      <w:rFonts w:ascii="Arial" w:hAnsi="Arial" w:eastAsia="Calibri" w:cs="Arial" w:eastAsiaTheme="minorHAnsi"/>
      <w:color w:val="auto"/>
      <w:sz w:val="20"/>
      <w:szCs w:val="20"/>
      <w:lang w:val="ru-RU" w:eastAsia="en-US" w:bidi="ar-SA"/>
    </w:rPr>
  </w:style>
  <w:style w:type="numbering" w:styleId="643" w:default="1">
    <w:name w:val="No List"/>
    <w:uiPriority w:val="99"/>
    <w:semiHidden/>
    <w:unhideWhenUsed/>
    <w:qFormat/>
  </w:style>
  <w:style w:type="table" w:styleId="64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Росреестра по Владимирской области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dc:language>ru-RU</dc:language>
  <cp:revision>7</cp:revision>
  <dcterms:created xsi:type="dcterms:W3CDTF">2024-07-15T06:11:00Z</dcterms:created>
  <dcterms:modified xsi:type="dcterms:W3CDTF">2024-08-29T09:07:27Z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