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  <w:t xml:space="preserve">о работе по выявлению земельных участков в рамках </w:t>
      </w:r>
    </w:p>
    <w:p>
      <w:pPr>
        <w:pStyle w:val="NoSpacing"/>
        <w:jc w:val="center"/>
        <w:rPr>
          <w:rFonts w:ascii="Arial" w:hAnsi="Arial" w:eastAsia="Arial Unicode MS" w:cs="Arial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  <w:t>реализации проекта «Земля для стройки»</w:t>
      </w:r>
    </w:p>
    <w:p>
      <w:pPr>
        <w:pStyle w:val="NoSpacing"/>
        <w:jc w:val="center"/>
        <w:rPr>
          <w:rFonts w:ascii="Arial" w:hAnsi="Arial" w:eastAsia="Arial Unicode MS" w:cs="Arial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В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истекшем периоде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2024 год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проведено 3 заседания оперативного штаба при Управлении, созданного в целях организации работ по вовлечению в оборот земельных участков, которые возможно использовать под жилищное строительство. По итогам заседаний сформирован перечень земельных участков и территорий, имеющих потенциал вовлечения для жилищного строительства на территории Владимирской области, в который по состоянию на 01.09.2024 включены 522 земельных участк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и территорий общей площадью порядка 1814 га (при целевом значении на 2024 год – 1519,94 га).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В настоящее время в соответствии с Соглашением о взаимодействии для реализации проекта «Земля для стройки», подписанным Росреестром и Правительством Владимирской области 10.06.2021, информация о данных земельных участках размещена на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П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убличной кадастровой карте (сервис «Земля для стройки») и находится в открытом доступе. Это позволяет заинтересованным лицам дистанционно получить подробные сведения о земельном участке, пригодном под жилищное строительство (к примеру, площадь, адрес, категория земель, форма собственности и т.д.).</w:t>
      </w:r>
    </w:p>
    <w:p>
      <w:pPr>
        <w:pStyle w:val="Normal"/>
        <w:spacing w:lineRule="auto" w:line="240" w:before="0" w:after="0"/>
        <w:ind w:firstLine="706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Для поиска земельного участка посредством сервиса «Земля для стройки» на Публичной кадастровой карте Росреестра необходимо выбрать пункт «Слои» и в этом пункте выбрать (установить признак) на слое «Земля для застройки». Сервис отобразит необходимые земельные участки (выделенные синим цветом). Далее необходимо выбрать регион, в котором находится заинтересованный участок, и приблизить кнопками «+» «-» территорию, обозначенную </w:t>
      </w:r>
      <w:bookmarkStart w:id="0" w:name="_GoBack_Копия_1"/>
      <w:bookmarkEnd w:id="0"/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цветом. При выборе участка на карте будут отображены его границы, а также информация о площади и типе использования (для строительства индивидуального жилого или многоквартирного дома).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Следует отметить имеющийся к настоящему времени положительный эффект  размещения этих данных на ПКК.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С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огласно отчетным данным на 01.09.2024 вовлечено в оборот с целью жилищного строительства 274 участка общей площадью более 101 га.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Руководитель Управления Алексей Сарыгин отмечает, что «р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абота по данному направлению будет продолжена в рамках утвержденных контрольных значений показателей площади земельных участков и территорий, возможных для вовлечения в оборот в целях жилищного строительства  на  2024-2028 годы.  В соответствии с данным планом площадь земельных участков и территорий, подлежащих выявлению Управлением,  к 2025 году составит 1629,49 га, а к 2028 году – 3601,34 га».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rsid w:val="00f23b0c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unhideWhenUsed/>
    <w:rsid w:val="00f23b0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LibreOffice/7.5.6.2$Linux_X86_64 LibreOffice_project/50$Build-2</Application>
  <AppVersion>15.0000</AppVersion>
  <Pages>2</Pages>
  <Words>360</Words>
  <Characters>2421</Characters>
  <CharactersWithSpaces>2911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2024-06-19T12:02:00Z</dcterms:created>
  <dc:creator>Пушкарская Диана Дмитриевна</dc:creator>
  <dc:description/>
  <dc:language>ru-RU</dc:language>
  <cp:lastModifiedBy/>
  <cp:lastPrinted>2024-06-19T11:49:00Z</cp:lastPrinted>
  <dcterms:modified xsi:type="dcterms:W3CDTF">2024-09-13T11:54:03Z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