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6"/>
          <w:szCs w:val="26"/>
        </w:rPr>
      </w:pPr>
      <w:r>
        <w:rPr>
          <w:rFonts w:cs="Times New Roman" w:ascii="Arial" w:hAnsi="Arial"/>
          <w:b/>
          <w:sz w:val="26"/>
          <w:szCs w:val="26"/>
        </w:rPr>
        <w:t xml:space="preserve">Управление Росреестра по Владимирской области информирует: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6"/>
          <w:szCs w:val="26"/>
        </w:rPr>
      </w:pPr>
      <w:r>
        <w:rPr>
          <w:rFonts w:cs="Times New Roman" w:ascii="Arial" w:hAnsi="Arial"/>
          <w:b/>
          <w:sz w:val="26"/>
          <w:szCs w:val="26"/>
        </w:rPr>
        <w:t xml:space="preserve">отказ от земельного участка - один из способов прекращения права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6"/>
          <w:szCs w:val="26"/>
        </w:rPr>
      </w:pPr>
      <w:r>
        <w:rPr>
          <w:rFonts w:cs="Times New Roman" w:ascii="Arial" w:hAnsi="Arial"/>
          <w:b/>
          <w:sz w:val="26"/>
          <w:szCs w:val="26"/>
        </w:rPr>
        <w:t>собственности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Действующим законодательством предусмотрена возможность добровольного отказа от права собственности на имущество (часть 1 статьи 236 Гражданского кодекса РФ) (ГК РФ). Отказаться можно как от движимого имущества, так и от недвижимого, например, если имущество не используется, не приносит дохода и на него отсутствует спрос, т.е. оно не продается.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Чтобы отказаться от права собственности на здание, сооружение, помещение, машино-место, объект незавершенного строительства, собственнику необходимо обратиться с заявлением об отказе от права собственности на конкретный объект в орган местного самоуправления.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отказе собственником от права собственности недвижимое имущество становится бесхозяйным (пункт 1 статьи 225 ГК РФ).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Важно: отказ является одним из оснований прекращения права собственности, но само право прекратится у собственника только тогда, когда у этого имущества появится новый собственник (часть 2 статьи 236 ГК РФ). Например, в результате признания судом права муниципальной собственности на бесхозяйный объект недвижимости, от права на который собственник отказался.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Иной порядок и момент прекращения права законодательством установлены при отказе от права собственности на земельный участок.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Так, чтобы отказаться от права собственности на земельный участок, собственнику необходимо обратиться с заявлением об отказе от права собственности в орган регистрации прав (пункт 2 статьи 53 Земельного кодекса РФ) (ЗК РФ). 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 случае, когда участок принадлежит нескольким лицам, с заявлением об отказе от права необходимо обратиться всем участникам общей долевой собственности, поскольку отказаться от права можно только на весь земельный участок. В ином случае, когда кто-то из сособственников не намеревается отказываться от своего права, он вправе приобрести неиспользуемую долю участка у других собственников (купить или принять в дар)», - уточнил генеральный директор ООО «Центра технической инвентаризации» Владимирской области Илья Сурков.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Также, нельзя отказаться от права собственности на земельный участок, если на нем расположен принадлежащий собственнику земельного участка объект недвижимости, в силу принципа единства судьбы земельных участков и прочно связанных с ними объектов, закрепленного в пункте 1 статьи 1, пункте 4 статьи 35 ЗК РФ.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Порядок государственной регистрации</w:t>
      </w:r>
      <w:r>
        <w:rPr>
          <w:rFonts w:cs="Times New Roman" w:ascii="Times New Roman" w:hAnsi="Times New Roman"/>
          <w:sz w:val="28"/>
          <w:szCs w:val="28"/>
        </w:rPr>
        <w:t xml:space="preserve"> прекращения права собственности на земельный участок определен статьей 56 Федерального закона от 13.07.2015 № 218-ФЗ «О государственной регистрации недвижимости» (Закон о регистрации).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частью 1 статьи 56 Закона о регистрации государственная регистрация прекращения права собственности на земельный участок или земельную долю вследствие отказа от права собственности осуществляется на основании заявления собственника земельного участка или земельной доли.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этом «земельная доля» определена в законодательстве как «доля в праве общей собственности на земельные участки из земель сельскохозяйственного назначения, права на которую возникли при приватизации сельскохозяйственных угодий» (пункт 1 статьи 15 Федерального закона от 24.07.2002 № 101-ФЗ «Об обороте земель сельскохозяйственного назначения»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). Другими словами, земельная доля – не любая доля в праве на любой земельный участок, а только та, права на которую возникли при приватизации сельхозугодий.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заявлению прилагается правоустанавливающий документ на земельный участок. Предоставление указанного документа не требуется в случае, если право собственности на этот земельный участок или земельную долю ранее было зарегистрировано в Едином государственном реестре недвижимости (часть 2 статьи 56 Закона о регистрации).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перестанет быть собственником с момента государственной регистрации прекращения его права. Собственником земельного участка или земельной доли станет соответствующее муниципальное образование, к собственности которого будут отнесены эти земельный участок или земельная доля (часть 4 статьи 56 Закона о регистрации).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</w:rPr>
        <w:t>«Обращаем внимание, что вышеуказанный порядок определяет отказ именно от права собственности. Если же земельный участок предоставлен на праве постоянного (бессрочного) пользования, такое право в соответствии с пунктом 1 статьи 45 ЗК РФ может быть прекращено в добровольном порядке путем подачи землевладельцем заявления об отказе от права с приложением документов, предусмотренных статьей 53 ЗК РФ в орган местного самоуправления, уполномоченный на предоставление земельных участков», - подчеркнул руководитель Управления Алексей Сарыгин.</w:t>
      </w:r>
    </w:p>
    <w:p>
      <w:pPr>
        <w:pStyle w:val="Normal"/>
        <w:shd w:val="clear" w:color="auto" w:fill="FFFFFF"/>
        <w:spacing w:lineRule="auto" w:line="240" w:before="0" w:after="210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4"/>
        </w:rPr>
      </w:pPr>
      <w:r>
        <w:rPr>
          <w:rFonts w:cs="Times New Roman;Times New Roman" w:ascii="Times New Roman;Times New Roman" w:hAnsi="Times New Roman;Times New Roman"/>
          <w:color w:val="000000"/>
          <w:sz w:val="28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 xml:space="preserve">(4922) 45-08-29, </w:t>
      </w:r>
      <w:r>
        <w:rPr/>
        <w:t>(4922) 45-08-26</w:t>
      </w:r>
    </w:p>
    <w:sectPr>
      <w:type w:val="nextPage"/>
      <w:pgSz w:w="11906" w:h="16838"/>
      <w:pgMar w:left="1701" w:right="850" w:gutter="0" w:header="0" w:top="162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0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1" w:customStyle="1">
    <w:name w:val="Тема примечания Знак"/>
    <w:basedOn w:val="Style10"/>
    <w:uiPriority w:val="99"/>
    <w:semiHidden/>
    <w:qFormat/>
    <w:rPr>
      <w:b/>
      <w:bCs/>
      <w:sz w:val="20"/>
      <w:szCs w:val="20"/>
    </w:rPr>
  </w:style>
  <w:style w:type="character" w:styleId="31" w:customStyle="1">
    <w:name w:val="Основной текст с отступом 3 Знак"/>
    <w:basedOn w:val="DefaultParagraphFont"/>
    <w:uiPriority w:val="99"/>
    <w:qFormat/>
    <w:rPr>
      <w:rFonts w:ascii="Times New Roman" w:hAnsi="Times New Roman" w:eastAsia="Arial Unicode MS" w:cs="Mangal"/>
      <w:sz w:val="16"/>
      <w:szCs w:val="14"/>
      <w:lang w:eastAsia="hi-IN" w:bidi="hi-IN"/>
    </w:rPr>
  </w:style>
  <w:style w:type="character" w:styleId="ConsPlusNormal" w:customStyle="1">
    <w:name w:val="ConsPlusNormal Знак"/>
    <w:qFormat/>
    <w:rPr>
      <w:rFonts w:ascii="Arial" w:hAnsi="Arial" w:cs="Arial"/>
      <w:sz w:val="20"/>
      <w:szCs w:val="20"/>
    </w:rPr>
  </w:style>
  <w:style w:type="character" w:styleId="BodyText2" w:customStyle="1">
    <w:name w:val="Body Text 2 Знак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WW8Num1z0" w:customStyle="1">
    <w:name w:val="WW8Num1z0"/>
    <w:qFormat/>
    <w:rPr>
      <w:rFonts w:ascii="Symbol" w:hAnsi="Symbol" w:cs="Symbol"/>
      <w:sz w:val="20"/>
    </w:rPr>
  </w:style>
  <w:style w:type="character" w:styleId="WW8Num1z1" w:customStyle="1">
    <w:name w:val="WW8Num1z1"/>
    <w:qFormat/>
    <w:rPr>
      <w:rFonts w:ascii="Courier New" w:hAnsi="Courier New" w:cs="Courier New"/>
      <w:sz w:val="20"/>
    </w:rPr>
  </w:style>
  <w:style w:type="character" w:styleId="WW8Num1z2" w:customStyle="1">
    <w:name w:val="WW8Num1z2"/>
    <w:qFormat/>
    <w:rPr>
      <w:rFonts w:ascii="Wingdings" w:hAnsi="Wingdings" w:cs="Wingdings"/>
      <w:sz w:val="20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2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uiPriority w:val="99"/>
    <w:unhideWhenUsed/>
    <w:qFormat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sz w:val="16"/>
      <w:szCs w:val="14"/>
      <w:lang w:eastAsia="hi-IN" w:bidi="hi-IN"/>
    </w:rPr>
  </w:style>
  <w:style w:type="paragraph" w:styleId="ConsPlusNormal1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cstheme="minorBidi" w:eastAsiaTheme="minorHAnsi"/>
      <w:color w:val="auto"/>
      <w:kern w:val="0"/>
      <w:sz w:val="20"/>
      <w:szCs w:val="20"/>
      <w:lang w:val="ru-RU" w:eastAsia="en-US" w:bidi="ar-SA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LibreOffice/7.5.6.2$Linux_X86_64 LibreOffice_project/50$Build-2</Application>
  <AppVersion>15.0000</AppVersion>
  <Pages>3</Pages>
  <Words>625</Words>
  <Characters>4233</Characters>
  <CharactersWithSpaces>4977</CharactersWithSpaces>
  <Paragraphs>27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dcterms:modified xsi:type="dcterms:W3CDTF">2024-09-12T15:05:07Z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