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bCs/>
          <w:sz w:val="26"/>
          <w:szCs w:val="26"/>
          <w14:ligatures w14:val="none"/>
        </w:rPr>
      </w:pPr>
      <w:r>
        <w:rPr>
          <w:rFonts w:eastAsia="Arial Unicode MS" w:cs="Arial" w:ascii="Arial" w:hAnsi="Arial"/>
          <w:b/>
          <w:bCs/>
          <w:sz w:val="26"/>
          <w:szCs w:val="26"/>
        </w:rPr>
        <w:tab/>
        <w:t>Управление Росреестра по Владимирской области информирует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bCs/>
          <w:sz w:val="26"/>
          <w:szCs w:val="26"/>
          <w14:ligatures w14:val="none"/>
        </w:rPr>
      </w:pPr>
      <w:r>
        <w:rPr>
          <w:rFonts w:eastAsia="Arial Unicode MS" w:cs="Arial" w:ascii="Arial" w:hAnsi="Arial"/>
          <w:b/>
          <w:bCs/>
          <w:sz w:val="26"/>
          <w:szCs w:val="26"/>
        </w:rPr>
        <w:t xml:space="preserve">об </w:t>
      </w:r>
      <w:r>
        <w:rPr>
          <w:rFonts w:eastAsia="Arial Unicode MS" w:cs="Arial" w:ascii="Arial" w:hAnsi="Arial"/>
          <w:b/>
          <w:sz w:val="26"/>
          <w:szCs w:val="26"/>
        </w:rPr>
        <w:t>изменении вида разрешенного использования земельного участка</w:t>
      </w:r>
    </w:p>
    <w:p>
      <w:pPr>
        <w:pStyle w:val="Paragraphmrcssattr"/>
        <w:shd w:val="clear" w:color="auto" w:fill="FFFFFF"/>
        <w:spacing w:beforeAutospacing="0" w:before="0" w:afterAutospacing="0" w:after="0"/>
        <w:ind w:left="0" w:right="0" w:firstLine="5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Нередко у владельцев земельных участков возникает вопрос, к какому виду разрешенного использования относится их участок, какую деятельность на нем можно осуществлять и как поменять основной вид разрешенного использования.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Разрешенное использование земельного участка – это дополнительная характеристика участка, сведения о которой содержатся в Едином государственном реестре недвижимости (ЕГРН), отвечающая на вопрос как именно можно использовать земельный участок.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Узнать вид разрешенного использования земельного участка можно, заказав выписку из ЕГРН об основных характеристиках.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Запросить сведения из ЕГРН возможно несколькими способами: обратиться с заявлением в офис Многофункционального центра (МФЦ), а также через Интернет с помощью специализированных электронных сервисов.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«Разрешенное использование земельного участка, сведения о котором содержатся в ЕГРН, должно соответствовать фактическому использованию этого участка», - отмечает генеральный директор «Центра технической инвентаризации» Владимирской области Илья Сурков.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Изменение вида разрешенного использования земельного участка осуществляется, в частности, в соответствии с правилами землепользования и застройки (ПЗЗ) конкретного муниципального образования (</w:t>
      </w:r>
      <w:hyperlink r:id="rId3" w:tgtFrame="consultantplus://offline/ref=E6347BDF271C492C1094DA10A7B5D45264F733C140399E661B86A12F137F8975803D2D00A1E15E1139825814E5599CB0C2C7765219898BDAB0SEH">
        <w:r>
          <w:rPr>
            <w:rFonts w:cs="Times New Roman" w:ascii="Times New Roman" w:hAnsi="Times New Roman"/>
            <w:sz w:val="28"/>
            <w:szCs w:val="28"/>
          </w:rPr>
          <w:t>пункт 3 часть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" w:tgtFrame="consultantplus://offline/ref=E6347BDF271C492C1094DA10A7B5D45264F733C140399E661B86A12F137F8975803D2D00A1E15E1133825814E5599CB0C2C7765219898BDAB0SEH">
        <w:r>
          <w:rPr>
            <w:rFonts w:cs="Times New Roman" w:ascii="Times New Roman" w:hAnsi="Times New Roman"/>
            <w:sz w:val="28"/>
            <w:szCs w:val="28"/>
          </w:rPr>
          <w:t>пункт 3 часть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" w:tgtFrame="consultantplus://offline/ref=E6347BDF271C492C1094DA10A7B5D45264F733C140399E661B86A12F137F8975803D2D00A1E15E1E3E825814E5599CB0C2C7765219898BDAB0SEH">
        <w:r>
          <w:rPr>
            <w:rFonts w:cs="Times New Roman" w:ascii="Times New Roman" w:hAnsi="Times New Roman"/>
            <w:sz w:val="28"/>
            <w:szCs w:val="28"/>
          </w:rPr>
          <w:t>пункт 3 часть 3 статьи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" w:tgtFrame="consultantplus://offline/ref=E6347BDF271C492C1094DA10A7B5D45264F733C140399E661B86A12F137F8975803D2D00A1E15A113D825814E5599CB0C2C7765219898BDAB0SEH">
        <w:r>
          <w:rPr>
            <w:rFonts w:cs="Times New Roman" w:ascii="Times New Roman" w:hAnsi="Times New Roman"/>
            <w:sz w:val="28"/>
            <w:szCs w:val="28"/>
          </w:rPr>
          <w:t>пункт 2 часть 3 статьи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РФ, (ГрК РФ)).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состав ПЗЗ входят, в том числе градостроительные регламенты. Для каждой категории земель в пределах определенной территориальной зоны градостроительные регламенты устанавливают допустимые виды разрешенного использования земельных участков и объектов капитального строительства, которые подразделяются на основные, условно разрешенные и вспомогательные. При этом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 (</w:t>
      </w:r>
      <w:hyperlink r:id="rId7" w:tgtFrame="consultantplus://offline/ref=E6347BDF271C492C1094DA10A7B5D45264F733C140399E661B86A12F137F8975803D2D00A1E15A1138825814E5599CB0C2C7765219898BDAB0SEH">
        <w:r>
          <w:rPr>
            <w:rFonts w:cs="Times New Roman" w:ascii="Times New Roman" w:hAnsi="Times New Roman"/>
            <w:sz w:val="28"/>
            <w:szCs w:val="28"/>
          </w:rPr>
          <w:t>часть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8" w:tgtFrame="consultantplus://offline/ref=E6347BDF271C492C1094DA10A7B5D45264F733C140399E661B86A12F137F8975803D2D00A1E15A1E3F825814E5599CB0C2C7765219898BDAB0SEH">
        <w:r>
          <w:rPr>
            <w:rFonts w:cs="Times New Roman" w:ascii="Times New Roman" w:hAnsi="Times New Roman"/>
            <w:sz w:val="28"/>
            <w:szCs w:val="28"/>
          </w:rPr>
          <w:t>пункт 1 часть 6 статьи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9" w:tgtFrame="consultantplus://offline/ref=E6347BDF271C492C1094DA10A7B5D45264F733C140399E661B86A12F137F8975803D2D00A1E15B1F3D825814E5599CB0C2C7765219898BDAB0SEH">
        <w:r>
          <w:rPr>
            <w:rFonts w:cs="Times New Roman" w:ascii="Times New Roman" w:hAnsi="Times New Roman"/>
            <w:sz w:val="28"/>
            <w:szCs w:val="28"/>
          </w:rPr>
          <w:t>часть.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0" w:tgtFrame="consultantplus://offline/ref=E6347BDF271C492C1094DA10A7B5D45264F733C140399E661B86A12F137F8975803D2D00A1E158163B825814E5599CB0C2C7765219898BDAB0SEH">
        <w:r>
          <w:rPr>
            <w:rFonts w:cs="Times New Roman" w:ascii="Times New Roman" w:hAnsi="Times New Roman"/>
            <w:sz w:val="28"/>
            <w:szCs w:val="28"/>
          </w:rPr>
          <w:t>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1" w:tgtFrame="consultantplus://offline/ref=E6347BDF271C492C1094DA10A7B5D45264F733C140399E661B86A12F137F8975803D2D00A2E5571D6FD84810AC0C96AEC4DB69520789B8S8H">
        <w:r>
          <w:rPr>
            <w:rFonts w:cs="Times New Roman" w:ascii="Times New Roman" w:hAnsi="Times New Roman"/>
            <w:sz w:val="28"/>
            <w:szCs w:val="28"/>
          </w:rPr>
          <w:t>2.1 статьи 37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ГрК РФ).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Изменение вида разрешенного использования земельного участка возможно на один из предусмотренных регламентом видов для данной территориальной зоны. Порядок изменения будет зависеть от того, к какой из указанных категорий вид разрешенного использования относится (</w:t>
      </w:r>
      <w:hyperlink r:id="rId12" w:tgtFrame="consultantplus://offline/ref=E6347BDF271C492C1094DA10A7B5D45264F733C140399E661B86A12F137F8975803D2D00A1E158163A825814E5599CB0C2C7765219898BDAB0SEH">
        <w:r>
          <w:rPr>
            <w:rFonts w:cs="Times New Roman" w:ascii="Times New Roman" w:hAnsi="Times New Roman"/>
            <w:sz w:val="28"/>
            <w:szCs w:val="28"/>
          </w:rPr>
          <w:t>часть 3 статьи 37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ГрК РФ; </w:t>
      </w:r>
      <w:hyperlink r:id="rId13" w:tgtFrame="consultantplus://offline/ref=E6347BDF271C492C1094DA10A7B5D45264F136C64F399E661B86A12F137F8975803D2D00A1E1581E3B825814E5599CB0C2C7765219898BDAB0SEH">
        <w:r>
          <w:rPr>
            <w:rFonts w:cs="Times New Roman" w:ascii="Times New Roman" w:hAnsi="Times New Roman"/>
            <w:sz w:val="28"/>
            <w:szCs w:val="28"/>
          </w:rPr>
          <w:t>пункт 3 статьи 85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Земельного Кодекса РФ).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Также следует учесть, что изменение вида разрешенного использования сельскохозяйственных угодий, которое влечет за собой невозможность использования земельного участка для сельскохозяйственных целей, невозможно без изменения категории земель такого участка. При этом в некоторых случаях изменение целевого назначения земельного участка из земель сельскохозяйственного назначения не допускается (</w:t>
      </w:r>
      <w:hyperlink r:id="rId14" w:tgtFrame="consultantplus://offline/ref=E6347BDF271C492C1094DA10A7B5D45264F733C140399E661B86A12F137F8975803D2D00A3E35C1D6FD84810AC0C96AEC4DB69520789B8S8H">
        <w:r>
          <w:rPr>
            <w:rFonts w:cs="Times New Roman" w:ascii="Times New Roman" w:hAnsi="Times New Roman"/>
            <w:sz w:val="28"/>
            <w:szCs w:val="28"/>
          </w:rPr>
          <w:t>часть 6 статьи 36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5" w:tgtFrame="consultantplus://offline/ref=E6347BDF271C492C1094DA10A7B5D45264F733C140399E661B86A12F137F8975803D2D00A1E1581638825814E5599CB0C2C7765219898BDAB0SEH">
        <w:r>
          <w:rPr>
            <w:rFonts w:cs="Times New Roman" w:ascii="Times New Roman" w:hAnsi="Times New Roman"/>
            <w:sz w:val="28"/>
            <w:szCs w:val="28"/>
          </w:rPr>
          <w:t>часть 5 статьи 37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ГрК РФ; </w:t>
      </w:r>
      <w:hyperlink r:id="rId16" w:tgtFrame="consultantplus://offline/ref=E6347BDF271C492C1094DA10A7B5D45264F03DC74F3E9E661B86A12F137F8975803D2D00A1E15E173F825814E5599CB0C2C7765219898BDAB0SEH">
        <w:r>
          <w:rPr>
            <w:rFonts w:cs="Times New Roman" w:ascii="Times New Roman" w:hAnsi="Times New Roman"/>
            <w:sz w:val="28"/>
            <w:szCs w:val="28"/>
          </w:rPr>
          <w:t>подпункт 1 пункта 3 статьи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7" w:tgtFrame="consultantplus://offline/ref=E6347BDF271C492C1094DA10A7B5D45264F03DC74F3E9E661B86A12F137F8975803D2D00A8E055426ACD5948A10B8FB1C7C7755005B8S8H">
        <w:r>
          <w:rPr>
            <w:rFonts w:cs="Times New Roman" w:ascii="Times New Roman" w:hAnsi="Times New Roman"/>
            <w:sz w:val="28"/>
            <w:szCs w:val="28"/>
          </w:rPr>
          <w:t>пункт 6 статьи 10.1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24.07.2002 № 101-ФЗ «Об обороте земель сельскохозяйственного назначения»).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«Обращаем внимание, что изменение вида разрешенного использования земельного участка может повлечь изменение его кадастровой стоимости и связанных с нею платежей, таких как земельный налог», - отметил начальник отдела государственного земельного надзора Денис Ломтев.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изменения вида разрешенного использования нужно руководствоваться ПЗЗ. Эти правила формируются в виде документа, который содержит градостроительные регламенты и карты территориального зонирования.</w:t>
      </w:r>
    </w:p>
    <w:p>
      <w:pPr>
        <w:pStyle w:val="Normal"/>
        <w:spacing w:lineRule="auto" w:line="240" w:before="0" w:after="16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ПЗЗ приняты уполномоченным органом, собственнику земельного участка необходимо подать в любой удобный офис МФЦ заявление о выборе вида разрешенного использования участка из тех видов, которые установлены ПЗЗ.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292C2F"/>
          <w:kern w:val="0"/>
          <w:sz w:val="28"/>
          <w:szCs w:val="28"/>
          <w:shd w:fill="auto" w:val="clear"/>
          <w:lang w:val="ru-RU" w:eastAsia="ru-RU" w:bidi="ar-SA"/>
        </w:rPr>
        <w:t xml:space="preserve">По общему правилу при наличии утвержденных ПЗЗ виды разрешенного использования земельных участков выбираются собственниками без внесения платы.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e90a57"/>
    <w:pPr>
      <w:spacing w:lineRule="auto" w:line="480" w:before="0" w:after="120"/>
    </w:pPr>
    <w:rPr/>
  </w:style>
  <w:style w:type="paragraph" w:styleId="Paragraphmrcssattr">
    <w:name w:val="paragraph_mr_css_attr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6347BDF271C492C1094DA10A7B5D45264F733C140399E661B86A12F137F8975803D2D00A1E15E1139825814E5599CB0C2C7765219898BDAB0SEH" TargetMode="External"/><Relationship Id="rId4" Type="http://schemas.openxmlformats.org/officeDocument/2006/relationships/hyperlink" Target="consultantplus://offline/ref=E6347BDF271C492C1094DA10A7B5D45264F733C140399E661B86A12F137F8975803D2D00A1E15E1133825814E5599CB0C2C7765219898BDAB0SEH" TargetMode="External"/><Relationship Id="rId5" Type="http://schemas.openxmlformats.org/officeDocument/2006/relationships/hyperlink" Target="consultantplus://offline/ref=E6347BDF271C492C1094DA10A7B5D45264F733C140399E661B86A12F137F8975803D2D00A1E15E1E3E825814E5599CB0C2C7765219898BDAB0SEH" TargetMode="External"/><Relationship Id="rId6" Type="http://schemas.openxmlformats.org/officeDocument/2006/relationships/hyperlink" Target="consultantplus://offline/ref=E6347BDF271C492C1094DA10A7B5D45264F733C140399E661B86A12F137F8975803D2D00A1E15A113D825814E5599CB0C2C7765219898BDAB0SEH" TargetMode="External"/><Relationship Id="rId7" Type="http://schemas.openxmlformats.org/officeDocument/2006/relationships/hyperlink" Target="consultantplus://offline/ref=E6347BDF271C492C1094DA10A7B5D45264F733C140399E661B86A12F137F8975803D2D00A1E15A1138825814E5599CB0C2C7765219898BDAB0SEH" TargetMode="External"/><Relationship Id="rId8" Type="http://schemas.openxmlformats.org/officeDocument/2006/relationships/hyperlink" Target="consultantplus://offline/ref=E6347BDF271C492C1094DA10A7B5D45264F733C140399E661B86A12F137F8975803D2D00A1E15A1E3F825814E5599CB0C2C7765219898BDAB0SEH" TargetMode="External"/><Relationship Id="rId9" Type="http://schemas.openxmlformats.org/officeDocument/2006/relationships/hyperlink" Target="consultantplus://offline/ref=E6347BDF271C492C1094DA10A7B5D45264F733C140399E661B86A12F137F8975803D2D00A1E15B1F3D825814E5599CB0C2C7765219898BDAB0SEH" TargetMode="External"/><Relationship Id="rId10" Type="http://schemas.openxmlformats.org/officeDocument/2006/relationships/hyperlink" Target="consultantplus://offline/ref=E6347BDF271C492C1094DA10A7B5D45264F733C140399E661B86A12F137F8975803D2D00A1E158163B825814E5599CB0C2C7765219898BDAB0SEH" TargetMode="External"/><Relationship Id="rId11" Type="http://schemas.openxmlformats.org/officeDocument/2006/relationships/hyperlink" Target="consultantplus://offline/ref=E6347BDF271C492C1094DA10A7B5D45264F733C140399E661B86A12F137F8975803D2D00A2E5571D6FD84810AC0C96AEC4DB69520789B8S8H" TargetMode="External"/><Relationship Id="rId12" Type="http://schemas.openxmlformats.org/officeDocument/2006/relationships/hyperlink" Target="consultantplus://offline/ref=E6347BDF271C492C1094DA10A7B5D45264F733C140399E661B86A12F137F8975803D2D00A1E158163A825814E5599CB0C2C7765219898BDAB0SEH" TargetMode="External"/><Relationship Id="rId13" Type="http://schemas.openxmlformats.org/officeDocument/2006/relationships/hyperlink" Target="consultantplus://offline/ref=E6347BDF271C492C1094DA10A7B5D45264F136C64F399E661B86A12F137F8975803D2D00A1E1581E3B825814E5599CB0C2C7765219898BDAB0SEH" TargetMode="External"/><Relationship Id="rId14" Type="http://schemas.openxmlformats.org/officeDocument/2006/relationships/hyperlink" Target="consultantplus://offline/ref=E6347BDF271C492C1094DA10A7B5D45264F733C140399E661B86A12F137F8975803D2D00A3E35C1D6FD84810AC0C96AEC4DB69520789B8S8H" TargetMode="External"/><Relationship Id="rId15" Type="http://schemas.openxmlformats.org/officeDocument/2006/relationships/hyperlink" Target="consultantplus://offline/ref=E6347BDF271C492C1094DA10A7B5D45264F733C140399E661B86A12F137F8975803D2D00A1E1581638825814E5599CB0C2C7765219898BDAB0SEH" TargetMode="External"/><Relationship Id="rId16" Type="http://schemas.openxmlformats.org/officeDocument/2006/relationships/hyperlink" Target="consultantplus://offline/ref=E6347BDF271C492C1094DA10A7B5D45264F03DC74F3E9E661B86A12F137F8975803D2D00A1E15E173F825814E5599CB0C2C7765219898BDAB0SEH" TargetMode="External"/><Relationship Id="rId17" Type="http://schemas.openxmlformats.org/officeDocument/2006/relationships/hyperlink" Target="consultantplus://offline/ref=E6347BDF271C492C1094DA10A7B5D45264F03DC74F3E9E661B86A12F137F8975803D2D00A8E055426ACD5948A10B8FB1C7C7755005B8S8H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Application>LibreOffice/7.5.6.2$Linux_X86_64 LibreOffice_project/50$Build-2</Application>
  <AppVersion>15.0000</AppVersion>
  <Pages>2</Pages>
  <Words>509</Words>
  <Characters>3595</Characters>
  <CharactersWithSpaces>4223</CharactersWithSpaces>
  <Paragraphs>26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2024-09-25T17:07:23Z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