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об участии в заседании коллегии  </w:t>
      </w: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  <w:t>Министерства имущественных и земельных отношений области</w:t>
      </w:r>
    </w:p>
    <w:p>
      <w:pPr>
        <w:pStyle w:val="NoSpacing"/>
        <w:spacing w:lineRule="auto" w:line="240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 ноября 2024 года руководитель Управления Алексей Сарыгин принял участие в заседании коллегии Министерства имущественных и земельных отношений Владимирской области по вопросу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освоения средств областного бюджета, выделенных на выполнение комплексных кадастровых работ в 2024 году.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ходе заседания представители Министерства напомнили присутствующим, что проведение комплексных кадастровых работ (ККР) является частью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1258. Ее целью является обеспечение полноты и качества сведений в Едином государственном реестре недвижимости (ЕГРН) в объеме 95% к концу 2030 года.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Председатель коллегии, Министр имущественных и земельных отношений Владимирской области Владимир Горланов сообщил, что в настоящее время Министерством заключены соглашения о предоставлении субсидии из бюджета Владимирской области бюджетам муниципальных образований с пятью муниципальными образованиями: ЗАТО г Радужный, Александровский, Вязниковский, Кольчугинский, Петушинский муниципальные районы и на данных территориях проводятся ККР.  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Алексей Сарыгин в свою очередь отметил: «Проведение ККР повышает инвестиционную привлекательность территорий, влияет на формирование эффективной градостроительной и земельной политики, способствует выявлению ранее учтенных объектов недвижимости, самовольного захвата земельных участков, самовольных построек».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Хотелось бы напомнить, что результатом выполнения ККР является образование земельных участков, осуществление уточнения местоположения границ земельных участков, установление наличия зданий и сооружений, объектов незавершенного строительства на земельных участках, а также обеспечение исправления реестровых ошибок в части местоположения границ объектов недвижимости.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Кроме того, проведение данных мероприятий освобождает правообладателей от оплаты кадастровых работ в отношении земельных участков и объектов недвижимости и позволяет снизить себестоимость их проведения.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160"/>
        <w:ind w:firstLine="709"/>
        <w:jc w:val="both"/>
        <w:rPr>
          <w:rFonts w:ascii="Segoe UI" w:hAnsi="Segoe UI" w:eastAsia="Calibri" w:cs="Segoe UI"/>
          <w:sz w:val="28"/>
          <w:szCs w:val="28"/>
          <w:highlight w:val="none"/>
          <w:lang w:eastAsia="en-US"/>
        </w:rPr>
      </w:pPr>
      <w:r>
        <w:rPr>
          <w:rFonts w:eastAsia="Calibri" w:cs="Segoe UI" w:ascii="Segoe UI" w:hAnsi="Segoe UI"/>
          <w:sz w:val="28"/>
          <w:szCs w:val="28"/>
          <w:lang w:eastAsia="en-US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LibreOffice/7.5.6.2$Linux_X86_64 LibreOffice_project/50$Build-2</Application>
  <AppVersion>15.0000</AppVersion>
  <Pages>2</Pages>
  <Words>280</Words>
  <Characters>2181</Characters>
  <CharactersWithSpaces>2589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2024-11-08T15:57:01Z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