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о </w:t>
      </w: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  <w:t>правилах внесения в ЕГРН записей о невозможности государственной регистрации права без личного участия правообладателя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Arial Unicode MS" w:cs="Times New Roman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Статьей 36 Федерального закона от 13.07.2015 № 218-ФЗ «О государственной регистрации недвижимости» установлены правила внесения в Единый государственный реестр недвижимости (ЕГРН) записей о невозможности государственной регистрации права без личного участия правообладателя.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Согласно закону, при представлении лицом, указанным в ЕГРН в качестве собственника объекта недвижимости (его законным представителем либо его представителем, действующим на основании нотариальной доверенности)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представителя), в ЕГРН, в срок не более пяти рабочих дней со дня приема органом регистрации прав такого заявления, вносится запись о невозможности регистрации прав без личного участия правообладателя.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«Наличие в ЕГРН вышеуказанной записи, является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недвижимости», -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u w:val="single"/>
          <w:shd w:fill="auto" w:val="clear"/>
          <w:lang w:val="ru-RU" w:eastAsia="en-US" w:bidi="ar-SA"/>
        </w:rPr>
        <w:t>подчеркивает заместитель руководителя Управления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u w:val="single"/>
          <w:shd w:fill="FFFF00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u w:val="single"/>
          <w:shd w:fill="auto" w:val="clear"/>
          <w:lang w:val="ru-RU" w:eastAsia="en-US" w:bidi="ar-SA"/>
        </w:rPr>
        <w:t xml:space="preserve">Александр Киреев.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принятия. Запись в ЕГРН о заявлении о невозможности регистрации не препятствует осуществлению государственной регистрации перехода, прекращения, ограничения права и обременения объекта недвижимости, если основанием для государственной регистрации права является вступившее в законную силу решение суда, а также требование судебного пристава-исполнителя в случаях, предусмотренных Федеральным законом от 02.10.2007 № 229-ФЗ «Об исполнительном производстве», и иных случаях, установленных федеральными законами.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Заявление о невозможности регистрации и прилагаемые к нему документы представляются по выбору заявителя: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1. В форме документов на бумажном носителе при личном обращении: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в публично-правовую компанию «Роскадастр» независимо от места нахождения объекта недвижимости, в том числе при выездном приеме;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в многофункциональный центр предоставления государственных или муниципальных услуг независимо от места нахождения объекта недвижимости, в том числе при выездном приеме;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2.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 "Интернет", направляемых в орган регистрации прав через: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единый портал государственных и муниципальных услуг (функций);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официальный сайт, в том числе посредством использования сервиса «Личный кабинет», размещенного на официальном сайте с использованием федеральной государственной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 обеспечивающего хранение ранее направленных в орган регистрации прав заявлений и прилагаемых к ним документов;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с использованием иных информационных технологий, в том числе веб-сервисов.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Заявление о невозможности регистрации в форме электронного документа подписывается усиленной квалифицированной электронной подписью (УКЭП) заявителя, за исключением случаев, когда оно представлено посредством использования сервиса «Личный кабинет», размещенного на официальном сайте с использованием ЕСИА, и может быть подписано простой электронной подписью заявителя. Заявление в форме документа на бумажном носителе подписывается собственноручной подписью правообладателя или его законного представителя либо его представителя, действующего на основании нотариально удостоверенной доверенности.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Запись, содержащаяся в ЕГРН, о заявлении о невозможности регистрации погашается на основании: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решения государственного регистратора прав (без заявления собственника, его законного представителя) одновременно с осуществляемой государственной регистрацией перехода, прекращения права собственности при личном участии указанного собственника (его законного представителя), а также при осуществлении государственной регистрации прав в порядке наследования;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- заявления собственника (его законного представителя) об отзыве ранее представленного заявления о невозможности регистрации;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- вступившего в законную силу судебного акта.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«На сегодняшний день ЕГРН является основным официальным источником, содержащим информацию относительно объектов недвижимого имущества, прошедших кадастровый учет и регистрацию прав. Предоставленная зако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нодателем возможность внесения в ЕГРН дополнительной информации -</w:t>
      </w:r>
      <w:r>
        <w:rPr>
          <w:rFonts w:eastAsia="Arial Unicode MS"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 невозможности государственной регистрации права без личного участия правообладателя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- один из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вариантов защиты прав граждан - собственников объектов недвижимости», -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u w:val="single"/>
          <w:lang w:val="ru-RU" w:eastAsia="en-US" w:bidi="ar-SA"/>
        </w:rPr>
        <w:t>подчеркивает уполномоченный по защите прав предпринимателей во Владимирской области Алла Матюшкина.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"/>
        <w:tabs>
          <w:tab w:val="clear" w:pos="708"/>
          <w:tab w:val="left" w:pos="142" w:leader="none"/>
        </w:tabs>
        <w:spacing w:before="0" w:after="160"/>
        <w:ind w:firstLine="709"/>
        <w:jc w:val="both"/>
        <w:rPr>
          <w:rFonts w:ascii="Segoe UI" w:hAnsi="Segoe UI" w:eastAsia="Calibri" w:cs="Segoe UI"/>
          <w:sz w:val="28"/>
          <w:szCs w:val="28"/>
          <w:highlight w:val="none"/>
          <w:lang w:eastAsia="en-US"/>
        </w:rPr>
      </w:pPr>
      <w:r>
        <w:rPr>
          <w:rFonts w:eastAsia="Calibri" w:cs="Segoe UI" w:ascii="Segoe UI" w:hAnsi="Segoe UI"/>
          <w:sz w:val="28"/>
          <w:szCs w:val="28"/>
          <w:lang w:eastAsia="en-US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LibreOffice/7.5.6.2$Linux_X86_64 LibreOffice_project/50$Build-2</Application>
  <AppVersion>15.0000</AppVersion>
  <Pages>3</Pages>
  <Words>642</Words>
  <Characters>4884</Characters>
  <CharactersWithSpaces>5636</CharactersWithSpaces>
  <Paragraphs>31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2024-12-13T14:45:33Z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