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Times New Roman"/>
          <w:b/>
          <w:bCs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 xml:space="preserve">Управление Росреестра по Владимирской области </w:t>
      </w:r>
    </w:p>
    <w:p>
      <w:pPr>
        <w:pStyle w:val="NoSpacing"/>
        <w:jc w:val="center"/>
        <w:rPr>
          <w:rFonts w:ascii="Arial" w:hAnsi="Arial" w:eastAsia="Arial Unicode MS" w:cs="Times New Roman"/>
          <w:b/>
          <w:bCs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 xml:space="preserve">уведомляет о необходимости государственной регистрации прав </w:t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eastAsia="Arial Unicode MS" w:cs="Times New Roman" w:ascii="Arial" w:hAnsi="Arial"/>
          <w:b/>
          <w:sz w:val="26"/>
          <w:szCs w:val="26"/>
        </w:rPr>
        <w:t>на объекты недвижимости</w:t>
      </w:r>
    </w:p>
    <w:p>
      <w:pPr>
        <w:pStyle w:val="NoSpacing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bCs w:val="false"/>
          <w:i w:val="false"/>
          <w:i w:val="false"/>
          <w:color w:val="201600"/>
          <w:sz w:val="28"/>
          <w:szCs w:val="28"/>
          <w:highlight w:val="none"/>
        </w:rPr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В Управление часто поступают обращения граждан об отсутствии в личном кабинете на «Едином портале государственных и муниципальных услуг 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(функций)</w:t>
      </w: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» (Госуслуги) информации об объектах недвижимости.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Fonts w:ascii="Times New Roman" w:hAnsi="Times New Roman" w:cs="Times New Roman"/>
          <w:bCs w:val="false"/>
          <w:i w:val="false"/>
          <w:i w:val="false"/>
          <w:color w:val="201600"/>
          <w:sz w:val="28"/>
          <w:szCs w:val="28"/>
          <w:highlight w:val="none"/>
        </w:rPr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>Одной из причин не отображения в личном кабинете Госуслуг информации о принадлежащей заявителю недвижимости может быть отсутствие записей о государственной регистрации прав в Едином государственном реестре недвижимости (ЕГРН).</w:t>
      </w:r>
    </w:p>
    <w:p>
      <w:pPr>
        <w:pStyle w:val="Normal"/>
        <w:spacing w:lineRule="auto" w:line="240" w:before="0" w:after="16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cs="Times New Roman" w:ascii="Times New Roman" w:hAnsi="Times New Roman"/>
          <w:bCs w:val="false"/>
          <w:i w:val="false"/>
          <w:color w:val="201600"/>
          <w:sz w:val="28"/>
          <w:szCs w:val="28"/>
        </w:rPr>
        <w:t xml:space="preserve">В соответствии </w:t>
      </w:r>
      <w:r>
        <w:rPr>
          <w:rFonts w:eastAsia="Times New Roman" w:cs="Times New Roman" w:ascii="Times New Roman" w:hAnsi="Times New Roman"/>
          <w:color w:val="000000"/>
          <w:sz w:val="28"/>
        </w:rPr>
        <w:t>с положениями Федерального закона от 13.07.2015                 № 218-ФЗ «О государственной регистрации недвижимости» государственная регистрация права на недвижимость проводится на основании заявления собственника (либо иного уполномоченного лица) и правоустанавливающего (правоудостоверяющего) документа.</w:t>
      </w:r>
    </w:p>
    <w:p>
      <w:pPr>
        <w:pStyle w:val="Normal"/>
        <w:spacing w:lineRule="auto" w:line="240" w:before="0" w:after="16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 связи с чем Управление напоминает, что в случае совершения  сделки по приобретению недвижимости (покупка, принятие дара, приватизация, принятие наследства и пр.) необходимо не только надлежащим образом оформить правоустанавливающий документ, но и подать в Росреестр заявление с приложением этого документа и документов, удостоверяющих личность. </w:t>
      </w:r>
    </w:p>
    <w:p>
      <w:pPr>
        <w:pStyle w:val="Normal"/>
        <w:spacing w:lineRule="auto" w:line="240" w:before="0" w:after="16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Кроме того, при предоставлении в орган регистрации прав указанных документов в целях внесения в ЕГРН максимально полной и достоверной информации, необходимо представить также иные документы, такие как СНИЛС, документы ЗАГС  (например, при  расхождении данных о ФИО  в правоустанавливающем документе, паспортных данных и пр.).</w:t>
      </w:r>
    </w:p>
    <w:p>
      <w:pPr>
        <w:pStyle w:val="Normal"/>
        <w:spacing w:lineRule="auto" w:line="240" w:before="0" w:after="16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Обращаем внимание, что до дня вступления в силу Федерального закона от 21.07.1997 № 122-ФЗ «О государственной регистрации прав на недвижимое имущество и сделок с ним» права на недвижимость регистрировались иными органами (органы БТИ, администрации). Такие права (ранее возникшие права) также подлежат внесению в ЕГРН посредством подачи заявления и документа, выдаваемого / учтенного такими органами (государственные акты, свидетельства, договоры).</w:t>
      </w:r>
    </w:p>
    <w:p>
      <w:pPr>
        <w:pStyle w:val="Normal"/>
        <w:spacing w:lineRule="auto" w:line="240" w:before="0" w:afterAutospacing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Если правоустанавливающий документ о ранее возникшем праве на недвижимость утерян, то получить копию такого документа можно по месту нахождения объекта недвижимости:</w:t>
      </w:r>
    </w:p>
    <w:p>
      <w:pPr>
        <w:pStyle w:val="ListParagraph"/>
        <w:numPr>
          <w:ilvl w:val="0"/>
          <w:numId w:val="2"/>
        </w:numPr>
        <w:spacing w:lineRule="auto" w:line="240" w:before="0" w:afterAutospacing="0" w:after="0"/>
        <w:ind w:left="0" w:right="0" w:firstLine="72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БТИ (на дома, квартиры и другие объекты капитального строительства и пр.);</w:t>
      </w:r>
    </w:p>
    <w:p>
      <w:pPr>
        <w:pStyle w:val="ListParagraph"/>
        <w:numPr>
          <w:ilvl w:val="0"/>
          <w:numId w:val="2"/>
        </w:numPr>
        <w:spacing w:lineRule="auto" w:line="240" w:before="0" w:afterAutospacing="0" w:after="0"/>
        <w:ind w:left="0" w:right="0" w:firstLine="72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местных администрациях (на земельные участки, квартиры и пр.). </w:t>
      </w:r>
    </w:p>
    <w:p>
      <w:pPr>
        <w:pStyle w:val="Normal"/>
        <w:spacing w:lineRule="auto" w:line="240" w:before="0" w:afterAutospacing="0" w:after="0"/>
        <w:ind w:firstLine="708"/>
        <w:contextualSpacing/>
        <w:jc w:val="both"/>
        <w:rPr>
          <w:rStyle w:val="FontStyle19"/>
          <w:rFonts w:eastAsia="Calibri"/>
          <w:sz w:val="28"/>
          <w:szCs w:val="28"/>
        </w:rPr>
      </w:pPr>
      <w:r>
        <w:rPr>
          <w:rStyle w:val="FontStyle19"/>
          <w:rFonts w:eastAsia="Calibri"/>
          <w:bCs/>
          <w:sz w:val="28"/>
          <w:szCs w:val="28"/>
        </w:rPr>
        <w:t>Представить документы в Росреестр Вы можете посредством:</w:t>
      </w:r>
    </w:p>
    <w:p>
      <w:pPr>
        <w:pStyle w:val="ListParagraph"/>
        <w:numPr>
          <w:ilvl w:val="0"/>
          <w:numId w:val="1"/>
        </w:numPr>
        <w:spacing w:lineRule="auto" w:line="240" w:before="0" w:afterAutospacing="0" w:after="0"/>
        <w:ind w:left="0" w:hanging="0"/>
        <w:contextualSpacing/>
        <w:jc w:val="both"/>
        <w:rPr>
          <w:rFonts w:ascii="Times New Roman" w:hAnsi="Times New Roman" w:cs="Times New Roman"/>
          <w:bCs w:val="false"/>
          <w:i w:val="false"/>
          <w:i w:val="false"/>
          <w:color w:val="201600"/>
          <w:sz w:val="28"/>
          <w:szCs w:val="28"/>
          <w:highlight w:val="none"/>
        </w:rPr>
      </w:pPr>
      <w:r>
        <w:rPr>
          <w:rStyle w:val="FontStyle19"/>
          <w:rFonts w:eastAsia="Calibri"/>
          <w:bCs/>
          <w:sz w:val="28"/>
          <w:szCs w:val="28"/>
        </w:rPr>
        <w:t>личного обращения в ближайший офис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«Мои документы» (МФЦ);</w:t>
      </w:r>
    </w:p>
    <w:p>
      <w:pPr>
        <w:pStyle w:val="ListParagraph"/>
        <w:numPr>
          <w:ilvl w:val="0"/>
          <w:numId w:val="1"/>
        </w:numPr>
        <w:spacing w:lineRule="auto" w:line="240" w:before="0" w:afterAutospacing="0" w:after="0"/>
        <w:ind w:left="0" w:hanging="0"/>
        <w:contextualSpacing/>
        <w:jc w:val="both"/>
        <w:rPr>
          <w:rFonts w:ascii="Times New Roman" w:hAnsi="Times New Roman" w:cs="Times New Roman"/>
          <w:bCs w:val="false"/>
          <w:i w:val="false"/>
          <w:i w:val="false"/>
          <w:color w:val="201600"/>
          <w:sz w:val="28"/>
          <w:szCs w:val="28"/>
          <w:highlight w:val="none"/>
        </w:rPr>
      </w:pPr>
      <w:r>
        <w:rPr>
          <w:rStyle w:val="FontStyle19"/>
          <w:rFonts w:eastAsia="Calibri"/>
          <w:bCs/>
          <w:sz w:val="28"/>
          <w:szCs w:val="28"/>
        </w:rPr>
        <w:t>личного кабинета Росреестра (https://lk.rosreestr.ru/);</w:t>
      </w:r>
    </w:p>
    <w:p>
      <w:pPr>
        <w:pStyle w:val="ListParagraph"/>
        <w:numPr>
          <w:ilvl w:val="0"/>
          <w:numId w:val="1"/>
        </w:numPr>
        <w:spacing w:lineRule="auto" w:line="240" w:before="0" w:afterAutospacing="0" w:after="0"/>
        <w:ind w:left="0" w:hanging="0"/>
        <w:contextualSpacing/>
        <w:jc w:val="both"/>
        <w:rPr>
          <w:rFonts w:ascii="Times New Roman" w:hAnsi="Times New Roman" w:cs="Times New Roman"/>
          <w:bCs w:val="false"/>
          <w:i w:val="false"/>
          <w:i w:val="false"/>
          <w:color w:val="201600"/>
          <w:sz w:val="28"/>
          <w:szCs w:val="28"/>
          <w:highlight w:val="none"/>
        </w:rPr>
      </w:pPr>
      <w:r>
        <w:rPr>
          <w:rStyle w:val="FontStyle19"/>
          <w:rFonts w:eastAsia="Calibri"/>
          <w:bCs/>
          <w:sz w:val="28"/>
          <w:szCs w:val="28"/>
        </w:rPr>
        <w:t>личного кабинета на Госуслугах.</w:t>
      </w:r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Для подачи документов на регистрацию прав в электронном виде с применением усиленной квалифицированной электронной подписи, необходимо использовать квалифицированный сертификат ключа проверки, который выпускают аккредитованные удостоверяющие центры Минцифры России.</w:t>
      </w:r>
    </w:p>
    <w:p>
      <w:pPr>
        <w:pStyle w:val="Normal"/>
        <w:spacing w:before="0" w:after="160"/>
        <w:ind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highlight w:val="none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141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2">
    <w:name w:val="FollowedHyperlink"/>
    <w:rPr>
      <w:color w:val="800000"/>
      <w:u w:val="single"/>
    </w:rPr>
  </w:style>
  <w:style w:type="character" w:styleId="FontStyle19" w:customStyle="1">
    <w:name w:val="Font Style19"/>
    <w:qFormat/>
    <w:rPr>
      <w:rFonts w:ascii="Times New Roman" w:hAnsi="Times New Roman" w:cs="Times New Roman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7" w:customStyle="1">
    <w:name w:val="Body Text Indent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76" w:beforeAutospacing="0" w:before="0" w:afterAutospacing="0" w:after="200"/>
      <w:ind w:left="0" w:right="0" w:firstLine="709"/>
      <w:jc w:val="both"/>
    </w:pPr>
    <w:rPr>
      <w:rFonts w:ascii="Calibri" w:hAnsi="Calibri" w:eastAsia="Tahoma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LibreOffice/7.5.6.2$Linux_X86_64 LibreOffice_project/50$Build-2</Application>
  <AppVersion>15.0000</AppVersion>
  <Pages>2</Pages>
  <Words>372</Words>
  <Characters>2645</Characters>
  <CharactersWithSpaces>3147</CharactersWithSpaces>
  <Paragraphs>28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dcterms:modified xsi:type="dcterms:W3CDTF">2024-12-11T15:00:22Z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