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spacing w:lineRule="auto" w:line="24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>о п</w:t>
      </w:r>
      <w:r>
        <w:rPr>
          <w:rFonts w:eastAsia="Arial Unicode MS" w:cs="Arial" w:ascii="Arial" w:hAnsi="Arial" w:cstheme="minorBidi"/>
          <w:b/>
          <w:color w:val="auto"/>
          <w:kern w:val="0"/>
          <w:sz w:val="26"/>
          <w:szCs w:val="26"/>
          <w:lang w:val="ru-RU" w:eastAsia="en-US" w:bidi="ar-SA"/>
        </w:rPr>
        <w:t xml:space="preserve">орядке погашения записи об аресте, внесенной в ЕГРН 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 w:cstheme="minorBidi"/>
          <w:b/>
          <w:color w:val="auto"/>
          <w:kern w:val="0"/>
          <w:sz w:val="26"/>
          <w:szCs w:val="26"/>
          <w:lang w:val="ru-RU" w:eastAsia="en-US" w:bidi="ar-SA"/>
        </w:rPr>
        <w:t>в рамках уголовного судопроизводства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115 Уголовно-процессуального кодекса Российской Федерации (УПК) арест на имущество накладывается для обеспечения исполнения приговора в части гражданского иска</w:t>
      </w:r>
      <w:r>
        <w:rPr>
          <w:rFonts w:ascii="Times New Roman" w:hAnsi="Times New Roman"/>
          <w:color w:val="000000"/>
          <w:sz w:val="26"/>
          <w:szCs w:val="26"/>
        </w:rPr>
        <w:t xml:space="preserve">, взыскания штрафа, других имущественных взысканий. Наложение ареста на объекты недвижимого имущества состоит в запрете, адресованном их собственнику или владельцу распоряжаться и, в необходимых случаях, пользоваться ими. Таким образом, арест </w:t>
      </w:r>
      <w:r>
        <w:rPr>
          <w:rFonts w:ascii="Times New Roman" w:hAnsi="Times New Roman"/>
          <w:sz w:val="26"/>
          <w:szCs w:val="26"/>
        </w:rPr>
        <w:t xml:space="preserve">в отношении объекта недвижимости имеет определенные негативные последствия для участников сделки с недвижимостью. При поступлении документов на регистрацию, например перехода права собственности на объект, запись об аресте, внесенная в Единый государственный реестр недвижимости (ЕГРН), будет препятствовать ее проведению до снятия ареста.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Следует учитывать, что отмена ареста, а также прекращение записи о нем в ЕГРН – процедуры, отличающиеся определенной спецификой.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руководителя Управления Александр Киреев подчеркивает: «П</w:t>
      </w:r>
      <w:r>
        <w:rPr>
          <w:rFonts w:ascii="Times New Roman" w:hAnsi="Times New Roman"/>
          <w:sz w:val="26"/>
          <w:szCs w:val="26"/>
        </w:rPr>
        <w:t xml:space="preserve">орядок прекращения записей об ограничении права аналогичен порядку их внесения. Иными словами, государственная регистрация прекращения ареста будет осуществляться  только на основании решений уполномоченных органов, ранее наложивших арест».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ним относятся, прежде всего, суды общей юрисдикции, арбитражные суды, судебные приставы - исполнители, налоговые органы, которые в соответствии с Федеральным законом от 13.07.2015 № 218-ФЗ «О государственной регистрации недвижимости» (Закон о регистрации) направляют соответствующий процессуальный документ об отмене ареста или запрета в орган регистрации прав в трехдневный срок с момента принятия. У органа регистрации прав отсутствуют полномочия самостоятельно – без документов, оформленных в соответствии с действующим законодательством, погашать записи о зарегистрированных ограничениях прав.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принятия в рамках судебного разбирательства обеспечительных мер в виде ареста в отношении объекта недвижимости, погашение записи в ЕГРН об аресте будет осуществляться на основании вступившего в законную силу судебного акта об отмене обеспечительных мер. Важно отметить, что государственная регистрация прекращения в ЕГРН записей об арестах (запретах), наложенных судом общей юрисдикции в рамках уголовного судопроизводства, осуществляется с учетом норм части 9 статьи 115 УПК, а именно – по постановлению, определению лица или органа, в производстве которого находится уголовное дело, </w:t>
      </w:r>
      <w:r>
        <w:rPr>
          <w:rFonts w:ascii="Times New Roman" w:hAnsi="Times New Roman"/>
          <w:color w:val="000000"/>
          <w:sz w:val="26"/>
          <w:szCs w:val="26"/>
        </w:rPr>
        <w:t>когда в применении данной меры процессуального принуждения либо отдельных ограничений, которым подвергнуто арестованное имущество, отпадает необходимость, а также в случае истечения установленного судом срока ареста, наложенного на имущество, или отказа в его продлении.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3 статьи 115 УПК установленный судом срок ареста, наложенного на имущество, может быть продлен в порядке, установленном статьей 115.1 УПК. Орган регистрации прав не уполномочен по собственной инициативе осуществлять действия по государственной регистрации прекращения ареста и в связи с истечением срока ареста, установленного соответствующим судебным актом, так как не обладает информацией о возможном продлении ареста в рамках уголовного дела.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«Установленный указанными нормами порядок отмены ареста и направления документов, необходимых для внесения в ЕГРН сведений о снятии ареста в случае истечения установленного судом срока ареста или отказа в его продлении, возлагает на лицо или орган, в производстве которого находится уголовное дело, обязанность вынести соответствующее постановление и в трехдневный срок с момента принятия направить его заверенную копию в орган регистрации прав. При поступлении документа об отмене ареста запись в ЕГРН о нем погашается в соответствии с пунктом 8 части 1 статьи 16 Закона о регистрации, а именно в течение трех рабочих дней», - </w:t>
      </w:r>
      <w:r>
        <w:rPr>
          <w:rFonts w:ascii="Times New Roman" w:hAnsi="Times New Roman"/>
          <w:sz w:val="26"/>
          <w:szCs w:val="26"/>
        </w:rPr>
        <w:t>отмечает з</w:t>
      </w:r>
      <w:r>
        <w:rPr>
          <w:rFonts w:cs="Times New Roman" w:ascii="Times New Roman" w:hAnsi="Times New Roman"/>
          <w:sz w:val="26"/>
          <w:szCs w:val="26"/>
        </w:rPr>
        <w:t xml:space="preserve">аведующий </w:t>
      </w:r>
      <w:bookmarkStart w:id="0" w:name="_GoBack_Копия_1"/>
      <w:r>
        <w:rPr>
          <w:rFonts w:eastAsia="Calibri" w:cs="" w:ascii="Times New Roman" w:hAnsi="Times New Roman" w:cstheme="minorBidi" w:eastAsiaTheme="minorHAnsi"/>
          <w:color w:val="auto"/>
          <w:kern w:val="0"/>
          <w:sz w:val="26"/>
          <w:szCs w:val="26"/>
          <w:lang w:val="ru-RU" w:eastAsia="en-US" w:bidi="ar-SA"/>
        </w:rPr>
        <w:t xml:space="preserve">кафедрой гражданско-правовых дисциплин Владимирского филиала РАНХиГС, кандидат юридических наук </w:t>
      </w:r>
      <w:bookmarkEnd w:id="0"/>
      <w:r>
        <w:rPr>
          <w:rFonts w:eastAsia="Calibri" w:cs="" w:ascii="Times New Roman" w:hAnsi="Times New Roman" w:cstheme="minorBidi" w:eastAsiaTheme="minorHAnsi"/>
          <w:color w:val="auto"/>
          <w:kern w:val="0"/>
          <w:sz w:val="26"/>
          <w:szCs w:val="26"/>
          <w:lang w:val="ru-RU" w:eastAsia="en-US" w:bidi="ar-SA"/>
        </w:rPr>
        <w:t>Андрей Баринов.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Следует обратить внимание на изменения, внесенные в часть 13 статьи 32 Закона о регистрации, которыми установлено, что арбитражный суд при принятии решения о признании должника банкротом и об открытии конкурсного производства или о признании гражданина банкротом,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ЕГРН записи об аресте имущества должника или гражданина.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уже было отмечено, аресты и запреты, принятые в отношении недвижимого имущества в рамках производства по уголовному делу, отменяются в порядке, установленном уголовно-процессуальным законодательством (часть 9 статьи 115 УПК). И в данном случае решение арбитражного суда о признании должника банкротом не является основанием для государственной регистрации прекращения ареста (запрета).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«Управление напоминает, что информация об ограничениях права в виде арестов и запретов в отношении объектов недвижимости находится в свободном доступе и отображается в выписке из ЕГРН, которую можно получить, воспользовавшись услугой по предоставлению сведений, в том числе по экстерриториальному принципу», - </w:t>
      </w:r>
      <w:r>
        <w:rPr>
          <w:rFonts w:ascii="Times New Roman" w:hAnsi="Times New Roman"/>
          <w:b w:val="false"/>
          <w:bCs w:val="false"/>
          <w:sz w:val="26"/>
          <w:szCs w:val="26"/>
        </w:rPr>
        <w:t>уточняет главный специалист-эксперт отдела регистрации объектов недвижимости крупных правообладателей и регистрации арестов Управления Лолита Пузанова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.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9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 w:customStyle="1">
    <w:name w:val="Основной текст Знак"/>
    <w:basedOn w:val="DefaultParagraphFont"/>
    <w:uiPriority w:val="99"/>
    <w:qFormat/>
    <w:rPr/>
  </w:style>
  <w:style w:type="character" w:styleId="21">
    <w:name w:val="Заголовок 2 Знак"/>
    <w:qFormat/>
    <w:rPr>
      <w:rFonts w:ascii="Cambria" w:hAnsi="Cambria" w:eastAsia="0" w:cs="0"/>
      <w:b/>
      <w:bCs/>
      <w:color w:val="4F81BD"/>
      <w:sz w:val="26"/>
      <w:szCs w:val="26"/>
    </w:rPr>
  </w:style>
  <w:style w:type="character" w:styleId="Extended-textfull">
    <w:name w:val="extended-text__ful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22">
    <w:name w:val="Основной текст 2 Знак"/>
    <w:qFormat/>
    <w:rPr>
      <w:rFonts w:ascii="Times New Roman" w:hAnsi="Times New Roman" w:eastAsia="Times New Roman" w:cs="Times New Roman"/>
      <w:color w:val="000000"/>
      <w:sz w:val="26"/>
      <w:lang w:eastAsia="ru-RU"/>
    </w:rPr>
  </w:style>
  <w:style w:type="character" w:styleId="41">
    <w:name w:val="Заголовок 4 Знак"/>
    <w:qFormat/>
    <w:rPr>
      <w:rFonts w:ascii="Cambria" w:hAnsi="Cambria" w:eastAsia="0" w:cs="Mangal"/>
      <w:b/>
      <w:bCs/>
      <w:i/>
      <w:iCs/>
      <w:color w:val="4F81BD"/>
      <w:szCs w:val="21"/>
    </w:rPr>
  </w:style>
  <w:style w:type="character" w:styleId="32">
    <w:name w:val="Заголовок 3 Знак"/>
    <w:qFormat/>
    <w:rPr>
      <w:rFonts w:ascii="Cambria" w:hAnsi="Cambria" w:eastAsia="0" w:cs="Mangal"/>
      <w:b/>
      <w:bCs/>
      <w:color w:val="4F81BD"/>
      <w:szCs w:val="21"/>
    </w:rPr>
  </w:style>
  <w:style w:type="character" w:styleId="Style13">
    <w:name w:val="Верхний колонтитул Знак"/>
    <w:qFormat/>
    <w:rPr>
      <w:rFonts w:ascii="Times New Roman" w:hAnsi="Times New Roman" w:eastAsia="Arial Unicode MS" w:cs="Mangal"/>
      <w:color w:val="000000"/>
      <w:szCs w:val="21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Style14">
    <w:name w:val="Нижний колонтитул Знак"/>
    <w:qFormat/>
    <w:rPr>
      <w:rFonts w:ascii="Times New Roman" w:hAnsi="Times New Roman" w:eastAsia="Arial Unicode MS" w:cs="Mangal"/>
      <w:color w:val="000000"/>
      <w:szCs w:val="21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99"/>
    <w:unhideWhenUsed/>
    <w:pPr>
      <w:spacing w:before="0" w:after="12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hi-IN"/>
    </w:rPr>
  </w:style>
  <w:style w:type="paragraph" w:styleId="BodyText21">
    <w:name w:val="Body Text 2"/>
    <w:basedOn w:val="Normal"/>
    <w:qFormat/>
    <w:pPr>
      <w:widowControl/>
      <w:jc w:val="center"/>
    </w:pPr>
    <w:rPr>
      <w:rFonts w:eastAsia="Times New Roman" w:cs="Times New Roman"/>
      <w:sz w:val="26"/>
      <w:lang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Segoe UI" w:hAnsi="Segoe UI" w:eastAsia="Tahoma" w:cs="Segoe UI"/>
      <w:color w:val="000000"/>
      <w:kern w:val="0"/>
      <w:sz w:val="24"/>
      <w:szCs w:val="24"/>
      <w:lang w:val="ru-RU" w:eastAsia="zh-CN" w:bidi="hi-IN"/>
    </w:rPr>
  </w:style>
  <w:style w:type="paragraph" w:styleId="Ogl">
    <w:name w:val="ogl"/>
    <w:basedOn w:val="Normal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Style29" w:customStyle="1">
    <w:name w:val="Абзац списка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LibreOffice/7.5.6.2$Linux_X86_64 LibreOffice_project/50$Build-2</Application>
  <AppVersion>15.0000</AppVersion>
  <Pages>3</Pages>
  <Words>722</Words>
  <Characters>4932</Characters>
  <CharactersWithSpaces>5780</CharactersWithSpaces>
  <Paragraphs>24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dc:description/>
  <dc:language>ru-RU</dc:language>
  <cp:lastModifiedBy/>
  <cp:lastPrinted>2024-12-19T14:30:31Z</cp:lastPrinted>
  <dcterms:modified xsi:type="dcterms:W3CDTF">2024-12-27T15:32:10Z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